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16" w:rsidRDefault="001F6BF5" w:rsidP="00E30216">
      <w:pPr>
        <w:jc w:val="center"/>
        <w:rPr>
          <w:rFonts w:ascii="Times New Roman" w:hAnsi="Times New Roman"/>
          <w:b/>
        </w:rPr>
      </w:pPr>
      <w:bookmarkStart w:id="0" w:name="_Hlk492507000"/>
      <w:bookmarkEnd w:id="0"/>
      <w:r w:rsidRPr="001F6BF5">
        <w:rPr>
          <w:rFonts w:cs="Arial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1.3pt;margin-top:-178.25pt;width:77.4pt;height:6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shCQIAAPE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" filled="f" stroked="f">
            <v:textbox style="mso-next-textbox:#Text Box 2">
              <w:txbxContent>
                <w:p w:rsidR="00CD3DF4" w:rsidRPr="002D421B" w:rsidRDefault="00CD3DF4" w:rsidP="00B91E25">
                  <w:pPr>
                    <w:jc w:val="center"/>
                    <w:rPr>
                      <w:rFonts w:ascii="Iskoola Pota" w:eastAsia="Times New Roman" w:hAnsi="Iskoola Pota" w:cs="Iskoola Pota"/>
                      <w:color w:val="D2B020"/>
                      <w:sz w:val="100"/>
                      <w:szCs w:val="100"/>
                    </w:rPr>
                  </w:pPr>
                  <w:r w:rsidRPr="002D421B">
                    <w:rPr>
                      <w:rFonts w:ascii="Iskoola Pota" w:eastAsia="Times New Roman" w:hAnsi="Iskoola Pota" w:cs="Iskoola Pota"/>
                      <w:color w:val="D2B020"/>
                      <w:sz w:val="100"/>
                      <w:szCs w:val="100"/>
                    </w:rPr>
                    <w:t>Q</w:t>
                  </w:r>
                </w:p>
                <w:p w:rsidR="00CD3DF4" w:rsidRPr="00B91E25" w:rsidRDefault="00CD3DF4" w:rsidP="00B91E25">
                  <w:pPr>
                    <w:rPr>
                      <w:b/>
                      <w:color w:val="D2B02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1F6BF5">
        <w:rPr>
          <w:rFonts w:cs="Arial"/>
          <w:b/>
          <w:noProof/>
          <w:color w:val="000000"/>
          <w:sz w:val="24"/>
          <w:szCs w:val="24"/>
        </w:rPr>
        <w:pict>
          <v:shape id="_x0000_s1027" type="#_x0000_t202" style="position:absolute;left:0;text-align:left;margin-left:201.6pt;margin-top:-188.55pt;width:56.4pt;height:71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" filled="f" stroked="f">
            <v:textbox style="mso-next-textbox:#_x0000_s1027">
              <w:txbxContent>
                <w:p w:rsidR="00CD3DF4" w:rsidRPr="002D421B" w:rsidRDefault="00CD3DF4" w:rsidP="00E650B0">
                  <w:pPr>
                    <w:jc w:val="center"/>
                    <w:rPr>
                      <w:rFonts w:ascii="Iskoola Pota" w:eastAsia="Times New Roman" w:hAnsi="Iskoola Pota" w:cs="Iskoola Pota"/>
                      <w:color w:val="B6991C"/>
                      <w:sz w:val="112"/>
                      <w:szCs w:val="112"/>
                    </w:rPr>
                  </w:pPr>
                  <w:r w:rsidRPr="002D421B">
                    <w:rPr>
                      <w:rFonts w:ascii="Iskoola Pota" w:eastAsia="Times New Roman" w:hAnsi="Iskoola Pota" w:cs="Iskoola Pota"/>
                      <w:color w:val="B6991C"/>
                      <w:sz w:val="112"/>
                      <w:szCs w:val="112"/>
                    </w:rPr>
                    <w:t>Y</w:t>
                  </w:r>
                </w:p>
                <w:p w:rsidR="00CD3DF4" w:rsidRPr="00E650B0" w:rsidRDefault="00CD3DF4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30216" w:rsidRPr="00F80C4A" w:rsidRDefault="00E30216" w:rsidP="00E30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6C5" w:rsidRPr="00B24F3A" w:rsidRDefault="00EF16C5" w:rsidP="00EF16C5">
      <w:pPr>
        <w:jc w:val="center"/>
        <w:rPr>
          <w:rFonts w:ascii="Arial" w:hAnsi="Arial" w:cs="Arial"/>
          <w:b/>
          <w:sz w:val="24"/>
          <w:szCs w:val="24"/>
        </w:rPr>
      </w:pPr>
      <w:r w:rsidRPr="00B24F3A">
        <w:rPr>
          <w:rFonts w:ascii="Arial" w:hAnsi="Arial" w:cs="Arial"/>
          <w:b/>
          <w:sz w:val="24"/>
          <w:szCs w:val="24"/>
        </w:rPr>
        <w:t>MEMO</w:t>
      </w:r>
      <w:r w:rsidR="00912007" w:rsidRPr="00B24F3A">
        <w:rPr>
          <w:rFonts w:ascii="Arial" w:hAnsi="Arial" w:cs="Arial"/>
          <w:b/>
          <w:sz w:val="24"/>
          <w:szCs w:val="24"/>
        </w:rPr>
        <w:t>RANDUM</w:t>
      </w:r>
    </w:p>
    <w:p w:rsidR="00EF16C5" w:rsidRPr="00B24F3A" w:rsidRDefault="00EF16C5" w:rsidP="00EF16C5">
      <w:pPr>
        <w:rPr>
          <w:rFonts w:ascii="Arial" w:hAnsi="Arial" w:cs="Arial"/>
          <w:sz w:val="24"/>
          <w:szCs w:val="24"/>
        </w:rPr>
      </w:pPr>
    </w:p>
    <w:p w:rsidR="00EF16C5" w:rsidRPr="00B24F3A" w:rsidRDefault="00EF16C5" w:rsidP="00EF16C5">
      <w:pPr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To: </w:t>
      </w:r>
      <w:r w:rsidR="00912007" w:rsidRPr="00B24F3A">
        <w:rPr>
          <w:rFonts w:ascii="Arial" w:hAnsi="Arial" w:cs="Arial"/>
          <w:sz w:val="24"/>
          <w:szCs w:val="24"/>
        </w:rPr>
        <w:t>Harmony Community Development District</w:t>
      </w:r>
      <w:r w:rsidR="00906344">
        <w:rPr>
          <w:rFonts w:ascii="Arial" w:hAnsi="Arial" w:cs="Arial"/>
          <w:sz w:val="24"/>
          <w:szCs w:val="24"/>
        </w:rPr>
        <w:t xml:space="preserve"> Board</w:t>
      </w:r>
    </w:p>
    <w:p w:rsidR="00912007" w:rsidRPr="00295F04" w:rsidRDefault="00912007" w:rsidP="00EF16C5">
      <w:pPr>
        <w:rPr>
          <w:rFonts w:ascii="Arial" w:hAnsi="Arial" w:cs="Arial"/>
          <w:sz w:val="20"/>
          <w:szCs w:val="20"/>
        </w:rPr>
      </w:pPr>
    </w:p>
    <w:p w:rsidR="00EF16C5" w:rsidRPr="00B24F3A" w:rsidRDefault="00EF16C5" w:rsidP="00EF16C5">
      <w:pPr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From: </w:t>
      </w:r>
      <w:r w:rsidR="00912007" w:rsidRPr="00B24F3A">
        <w:rPr>
          <w:rFonts w:ascii="Arial" w:hAnsi="Arial" w:cs="Arial"/>
          <w:sz w:val="24"/>
          <w:szCs w:val="24"/>
        </w:rPr>
        <w:t>Young Qualls, P.A.</w:t>
      </w:r>
    </w:p>
    <w:p w:rsidR="00912007" w:rsidRPr="00295F04" w:rsidRDefault="00912007" w:rsidP="00EF16C5">
      <w:pPr>
        <w:rPr>
          <w:rFonts w:ascii="Arial" w:hAnsi="Arial" w:cs="Arial"/>
          <w:sz w:val="20"/>
          <w:szCs w:val="20"/>
        </w:rPr>
      </w:pPr>
    </w:p>
    <w:p w:rsidR="00EF16C5" w:rsidRPr="00B24F3A" w:rsidRDefault="00C12ABA" w:rsidP="00EF16C5">
      <w:pPr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Date: </w:t>
      </w:r>
      <w:r w:rsidR="00906344">
        <w:rPr>
          <w:rFonts w:ascii="Arial" w:hAnsi="Arial" w:cs="Arial"/>
          <w:sz w:val="24"/>
          <w:szCs w:val="24"/>
        </w:rPr>
        <w:t>September 7</w:t>
      </w:r>
      <w:r w:rsidR="00912007" w:rsidRPr="00B24F3A">
        <w:rPr>
          <w:rFonts w:ascii="Arial" w:hAnsi="Arial" w:cs="Arial"/>
          <w:sz w:val="24"/>
          <w:szCs w:val="24"/>
        </w:rPr>
        <w:t>, 2017</w:t>
      </w:r>
    </w:p>
    <w:p w:rsidR="00912007" w:rsidRPr="00295F04" w:rsidRDefault="00912007" w:rsidP="00EF16C5">
      <w:pPr>
        <w:rPr>
          <w:rFonts w:ascii="Arial" w:hAnsi="Arial" w:cs="Arial"/>
          <w:sz w:val="20"/>
          <w:szCs w:val="20"/>
        </w:rPr>
      </w:pPr>
    </w:p>
    <w:p w:rsidR="00EF16C5" w:rsidRPr="00B24F3A" w:rsidRDefault="005C39A9" w:rsidP="00EF16C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Background</w:t>
      </w:r>
      <w:r w:rsidR="00784879">
        <w:rPr>
          <w:rFonts w:ascii="Arial" w:hAnsi="Arial" w:cs="Arial"/>
          <w:sz w:val="24"/>
          <w:szCs w:val="24"/>
        </w:rPr>
        <w:t xml:space="preserve"> and Legal Analysis </w:t>
      </w:r>
      <w:r w:rsidR="00782202">
        <w:rPr>
          <w:rFonts w:ascii="Arial" w:hAnsi="Arial" w:cs="Arial"/>
          <w:sz w:val="24"/>
          <w:szCs w:val="24"/>
        </w:rPr>
        <w:t xml:space="preserve">for </w:t>
      </w:r>
      <w:r w:rsidR="00784879">
        <w:rPr>
          <w:rFonts w:ascii="Arial" w:hAnsi="Arial" w:cs="Arial"/>
          <w:sz w:val="24"/>
          <w:szCs w:val="24"/>
        </w:rPr>
        <w:t>True-Up Payment</w:t>
      </w:r>
      <w:r w:rsidR="00782202">
        <w:rPr>
          <w:rFonts w:ascii="Arial" w:hAnsi="Arial" w:cs="Arial"/>
          <w:sz w:val="24"/>
          <w:szCs w:val="24"/>
        </w:rPr>
        <w:t xml:space="preserve"> Determination</w:t>
      </w:r>
    </w:p>
    <w:p w:rsidR="00EF16C5" w:rsidRPr="00295F04" w:rsidRDefault="00EF16C5" w:rsidP="00EF16C5">
      <w:pPr>
        <w:jc w:val="center"/>
        <w:rPr>
          <w:rFonts w:ascii="Arial" w:hAnsi="Arial" w:cs="Arial"/>
          <w:b/>
          <w:sz w:val="32"/>
          <w:szCs w:val="32"/>
        </w:rPr>
      </w:pPr>
    </w:p>
    <w:p w:rsidR="00EF16C5" w:rsidRPr="00B24F3A" w:rsidRDefault="00FB5E40" w:rsidP="008856B1">
      <w:pPr>
        <w:tabs>
          <w:tab w:val="center" w:pos="4680"/>
          <w:tab w:val="right" w:pos="9360"/>
        </w:tabs>
        <w:spacing w:line="48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F16C5" w:rsidRPr="00B24F3A">
        <w:rPr>
          <w:rFonts w:ascii="Arial" w:hAnsi="Arial" w:cs="Arial"/>
          <w:b/>
          <w:sz w:val="24"/>
          <w:szCs w:val="24"/>
        </w:rPr>
        <w:t>Question Presented</w:t>
      </w:r>
      <w:r>
        <w:rPr>
          <w:rFonts w:ascii="Arial" w:hAnsi="Arial" w:cs="Arial"/>
          <w:b/>
          <w:sz w:val="24"/>
          <w:szCs w:val="24"/>
        </w:rPr>
        <w:tab/>
      </w:r>
    </w:p>
    <w:p w:rsidR="00EF16C5" w:rsidRPr="00B24F3A" w:rsidRDefault="00EA5FEB" w:rsidP="008856B1">
      <w:pPr>
        <w:pStyle w:val="Heading1"/>
        <w:shd w:val="clear" w:color="auto" w:fill="FFFFFF"/>
        <w:spacing w:before="0" w:beforeAutospacing="0" w:after="0" w:afterAutospacing="0" w:line="480" w:lineRule="auto"/>
        <w:ind w:firstLine="720"/>
        <w:contextualSpacing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Is there cur</w:t>
      </w:r>
      <w:r w:rsidRPr="00B43047">
        <w:rPr>
          <w:rFonts w:ascii="Arial" w:hAnsi="Arial" w:cs="Arial"/>
          <w:b w:val="0"/>
          <w:sz w:val="24"/>
          <w:szCs w:val="24"/>
        </w:rPr>
        <w:t xml:space="preserve">rently a density reduction payment owed 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on the </w:t>
      </w:r>
      <w:proofErr w:type="spellStart"/>
      <w:r w:rsidR="00704C98">
        <w:rPr>
          <w:rFonts w:ascii="Arial" w:hAnsi="Arial" w:cs="Arial"/>
          <w:b w:val="0"/>
          <w:sz w:val="24"/>
          <w:szCs w:val="24"/>
        </w:rPr>
        <w:t>unplatted</w:t>
      </w:r>
      <w:proofErr w:type="spellEnd"/>
      <w:r w:rsidR="00704C98">
        <w:rPr>
          <w:rFonts w:ascii="Arial" w:hAnsi="Arial" w:cs="Arial"/>
          <w:b w:val="0"/>
          <w:sz w:val="24"/>
          <w:szCs w:val="24"/>
        </w:rPr>
        <w:t xml:space="preserve"> </w:t>
      </w:r>
      <w:r w:rsidR="00B43047" w:rsidRPr="00B43047">
        <w:rPr>
          <w:rFonts w:ascii="Arial" w:hAnsi="Arial" w:cs="Arial"/>
          <w:b w:val="0"/>
          <w:sz w:val="24"/>
          <w:szCs w:val="24"/>
        </w:rPr>
        <w:t>lands within Harmony C</w:t>
      </w:r>
      <w:r w:rsidR="0052747A">
        <w:rPr>
          <w:rFonts w:ascii="Arial" w:hAnsi="Arial" w:cs="Arial"/>
          <w:b w:val="0"/>
          <w:sz w:val="24"/>
          <w:szCs w:val="24"/>
        </w:rPr>
        <w:t xml:space="preserve">ommunity </w:t>
      </w:r>
      <w:r w:rsidR="00B43047" w:rsidRPr="00B43047">
        <w:rPr>
          <w:rFonts w:ascii="Arial" w:hAnsi="Arial" w:cs="Arial"/>
          <w:b w:val="0"/>
          <w:sz w:val="24"/>
          <w:szCs w:val="24"/>
        </w:rPr>
        <w:t>D</w:t>
      </w:r>
      <w:r w:rsidR="0052747A">
        <w:rPr>
          <w:rFonts w:ascii="Arial" w:hAnsi="Arial" w:cs="Arial"/>
          <w:b w:val="0"/>
          <w:sz w:val="24"/>
          <w:szCs w:val="24"/>
        </w:rPr>
        <w:t xml:space="preserve">evelopment </w:t>
      </w:r>
      <w:r w:rsidR="00B43047" w:rsidRPr="00B43047">
        <w:rPr>
          <w:rFonts w:ascii="Arial" w:hAnsi="Arial" w:cs="Arial"/>
          <w:b w:val="0"/>
          <w:sz w:val="24"/>
          <w:szCs w:val="24"/>
        </w:rPr>
        <w:t>D</w:t>
      </w:r>
      <w:r w:rsidR="0052747A">
        <w:rPr>
          <w:rFonts w:ascii="Arial" w:hAnsi="Arial" w:cs="Arial"/>
          <w:b w:val="0"/>
          <w:sz w:val="24"/>
          <w:szCs w:val="24"/>
        </w:rPr>
        <w:t xml:space="preserve">istrict 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under the True-Up </w:t>
      </w:r>
      <w:r w:rsidR="00720C48">
        <w:rPr>
          <w:rFonts w:ascii="Arial" w:hAnsi="Arial" w:cs="Arial"/>
          <w:b w:val="0"/>
          <w:sz w:val="24"/>
          <w:szCs w:val="24"/>
        </w:rPr>
        <w:t>M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echanism described in the Assessment Methodology Reports and in </w:t>
      </w:r>
      <w:r w:rsidR="006C062D">
        <w:rPr>
          <w:rFonts w:ascii="Arial" w:hAnsi="Arial" w:cs="Arial"/>
          <w:b w:val="0"/>
          <w:sz w:val="24"/>
          <w:szCs w:val="24"/>
        </w:rPr>
        <w:t xml:space="preserve">a 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contractual agreement </w:t>
      </w:r>
      <w:r w:rsidR="00B43047">
        <w:rPr>
          <w:rFonts w:ascii="Arial" w:hAnsi="Arial" w:cs="Arial"/>
          <w:b w:val="0"/>
          <w:sz w:val="24"/>
          <w:szCs w:val="24"/>
        </w:rPr>
        <w:t>executed by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 the Developer and the District?</w:t>
      </w:r>
    </w:p>
    <w:p w:rsidR="00E72F21" w:rsidRDefault="00E72F21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</w:t>
      </w:r>
    </w:p>
    <w:p w:rsidR="00CD3DF4" w:rsidRPr="00CD3DF4" w:rsidRDefault="00E72F21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Yes.  A</w:t>
      </w:r>
      <w:r w:rsidR="00CD3DF4">
        <w:rPr>
          <w:rFonts w:ascii="Arial" w:hAnsi="Arial" w:cs="Arial"/>
          <w:b w:val="0"/>
          <w:sz w:val="24"/>
          <w:szCs w:val="24"/>
        </w:rPr>
        <w:t>ccording to the plain language of the relevant documents and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D3DF4">
        <w:rPr>
          <w:rFonts w:ascii="Arial" w:hAnsi="Arial" w:cs="Arial"/>
          <w:b w:val="0"/>
          <w:sz w:val="24"/>
          <w:szCs w:val="24"/>
        </w:rPr>
        <w:t xml:space="preserve">Severn Trent’s calculations, a </w:t>
      </w:r>
      <w:r>
        <w:rPr>
          <w:rFonts w:ascii="Arial" w:hAnsi="Arial" w:cs="Arial"/>
          <w:b w:val="0"/>
          <w:sz w:val="24"/>
          <w:szCs w:val="24"/>
        </w:rPr>
        <w:t xml:space="preserve">current density reduction payment in the </w:t>
      </w:r>
      <w:r w:rsidRPr="00C7521F">
        <w:rPr>
          <w:rFonts w:ascii="Arial" w:hAnsi="Arial" w:cs="Arial"/>
          <w:b w:val="0"/>
          <w:sz w:val="24"/>
          <w:szCs w:val="24"/>
          <w:u w:val="thick" w:color="FF0000"/>
        </w:rPr>
        <w:t>total</w:t>
      </w:r>
      <w:r>
        <w:rPr>
          <w:rFonts w:ascii="Arial" w:hAnsi="Arial" w:cs="Arial"/>
          <w:b w:val="0"/>
          <w:sz w:val="24"/>
          <w:szCs w:val="24"/>
        </w:rPr>
        <w:t xml:space="preserve"> amount of </w:t>
      </w:r>
      <w:r w:rsidR="00CD3DF4" w:rsidRPr="00C7521F">
        <w:rPr>
          <w:rFonts w:ascii="Arial" w:hAnsi="Arial" w:cs="Arial"/>
          <w:sz w:val="24"/>
          <w:szCs w:val="24"/>
          <w:highlight w:val="yellow"/>
        </w:rPr>
        <w:t>$</w:t>
      </w:r>
      <w:r w:rsidR="00C7521F" w:rsidRPr="001C1252">
        <w:rPr>
          <w:rFonts w:ascii="Arial" w:hAnsi="Arial" w:cs="Arial"/>
          <w:color w:val="FF0000"/>
          <w:sz w:val="24"/>
          <w:szCs w:val="24"/>
          <w:highlight w:val="yellow"/>
          <w:u w:val="single" w:color="000000" w:themeColor="text1"/>
        </w:rPr>
        <w:t>436,537.94</w:t>
      </w:r>
      <w:r w:rsidR="00CD3DF4">
        <w:rPr>
          <w:rFonts w:ascii="Arial" w:hAnsi="Arial" w:cs="Arial"/>
          <w:b w:val="0"/>
          <w:sz w:val="24"/>
          <w:szCs w:val="24"/>
        </w:rPr>
        <w:t xml:space="preserve"> is </w:t>
      </w:r>
      <w:r w:rsidR="00CD3DF4" w:rsidRPr="00C7521F">
        <w:rPr>
          <w:rFonts w:ascii="Arial" w:hAnsi="Arial" w:cs="Arial"/>
          <w:b w:val="0"/>
          <w:sz w:val="24"/>
          <w:szCs w:val="24"/>
          <w:u w:val="thick" w:color="FF0000"/>
        </w:rPr>
        <w:t>owed</w:t>
      </w:r>
      <w:r w:rsidR="00704C98">
        <w:rPr>
          <w:rFonts w:ascii="Arial" w:hAnsi="Arial" w:cs="Arial"/>
          <w:b w:val="0"/>
          <w:sz w:val="24"/>
          <w:szCs w:val="24"/>
        </w:rPr>
        <w:t xml:space="preserve"> on the </w:t>
      </w:r>
      <w:proofErr w:type="spellStart"/>
      <w:r w:rsidR="00704C98">
        <w:rPr>
          <w:rFonts w:ascii="Arial" w:hAnsi="Arial" w:cs="Arial"/>
          <w:b w:val="0"/>
          <w:sz w:val="24"/>
          <w:szCs w:val="24"/>
        </w:rPr>
        <w:t>unplatted</w:t>
      </w:r>
      <w:proofErr w:type="spellEnd"/>
      <w:r w:rsidR="00704C98">
        <w:rPr>
          <w:rFonts w:ascii="Arial" w:hAnsi="Arial" w:cs="Arial"/>
          <w:b w:val="0"/>
          <w:sz w:val="24"/>
          <w:szCs w:val="24"/>
        </w:rPr>
        <w:t xml:space="preserve"> lands</w:t>
      </w:r>
      <w:r w:rsidR="00CD3DF4">
        <w:rPr>
          <w:rFonts w:ascii="Arial" w:hAnsi="Arial" w:cs="Arial"/>
          <w:b w:val="0"/>
          <w:sz w:val="24"/>
          <w:szCs w:val="24"/>
        </w:rPr>
        <w:t>.</w:t>
      </w:r>
    </w:p>
    <w:p w:rsidR="00B43047" w:rsidRDefault="00B43047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</w:t>
      </w:r>
    </w:p>
    <w:p w:rsidR="00B43047" w:rsidRPr="00B43047" w:rsidRDefault="00B43047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Pr="00B43047">
        <w:rPr>
          <w:rFonts w:ascii="Arial" w:hAnsi="Arial" w:cs="Arial"/>
          <w:b w:val="0"/>
          <w:sz w:val="24"/>
          <w:szCs w:val="24"/>
        </w:rPr>
        <w:t xml:space="preserve">This </w:t>
      </w:r>
      <w:r w:rsidR="007266EA">
        <w:rPr>
          <w:rFonts w:ascii="Arial" w:hAnsi="Arial" w:cs="Arial"/>
          <w:b w:val="0"/>
          <w:sz w:val="24"/>
          <w:szCs w:val="24"/>
        </w:rPr>
        <w:t>question initially arose</w:t>
      </w:r>
      <w:r w:rsidRPr="00B43047">
        <w:rPr>
          <w:rFonts w:ascii="Arial" w:hAnsi="Arial" w:cs="Arial"/>
          <w:b w:val="0"/>
          <w:sz w:val="24"/>
          <w:szCs w:val="24"/>
        </w:rPr>
        <w:t xml:space="preserve"> because the current Landowner/Developer (Birchwood Acres Limited Partnership, LLLP) has an impending sale of property in Harmony Community Development District.  </w:t>
      </w:r>
      <w:r>
        <w:rPr>
          <w:rFonts w:ascii="Arial" w:hAnsi="Arial" w:cs="Arial"/>
          <w:b w:val="0"/>
          <w:sz w:val="24"/>
          <w:szCs w:val="24"/>
        </w:rPr>
        <w:t xml:space="preserve">Closing of the sale is set to occur on </w:t>
      </w:r>
      <w:r w:rsidR="00704C98">
        <w:rPr>
          <w:rFonts w:ascii="Arial" w:hAnsi="Arial" w:cs="Arial"/>
          <w:b w:val="0"/>
          <w:sz w:val="24"/>
          <w:szCs w:val="24"/>
        </w:rPr>
        <w:t xml:space="preserve">or </w:t>
      </w:r>
      <w:r w:rsidR="00704C98">
        <w:rPr>
          <w:rFonts w:ascii="Arial" w:hAnsi="Arial" w:cs="Arial"/>
          <w:b w:val="0"/>
          <w:sz w:val="24"/>
          <w:szCs w:val="24"/>
        </w:rPr>
        <w:lastRenderedPageBreak/>
        <w:t xml:space="preserve">around </w:t>
      </w:r>
      <w:r>
        <w:rPr>
          <w:rFonts w:ascii="Arial" w:hAnsi="Arial" w:cs="Arial"/>
          <w:b w:val="0"/>
          <w:sz w:val="24"/>
          <w:szCs w:val="24"/>
        </w:rPr>
        <w:t xml:space="preserve">September 27, 2017.  The potential purchaser’s due diligence raised questions regarding any current and/or potential True-Up obligations. </w:t>
      </w:r>
    </w:p>
    <w:p w:rsidR="00EF16C5" w:rsidRPr="00B24F3A" w:rsidRDefault="00EF16C5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>A</w:t>
      </w:r>
      <w:r w:rsidR="00B43047">
        <w:rPr>
          <w:rFonts w:ascii="Arial" w:hAnsi="Arial" w:cs="Arial"/>
          <w:sz w:val="24"/>
          <w:szCs w:val="24"/>
        </w:rPr>
        <w:t>nalysis</w:t>
      </w:r>
    </w:p>
    <w:p w:rsidR="00E8770D" w:rsidRDefault="00B43047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to the 2015</w:t>
      </w:r>
      <w:r w:rsidR="00E8770D">
        <w:rPr>
          <w:rFonts w:ascii="Arial" w:hAnsi="Arial" w:cs="Arial"/>
          <w:sz w:val="24"/>
          <w:szCs w:val="24"/>
        </w:rPr>
        <w:t xml:space="preserve"> </w:t>
      </w:r>
      <w:r w:rsidRPr="00E8770D">
        <w:rPr>
          <w:rFonts w:ascii="Arial" w:hAnsi="Arial" w:cs="Arial"/>
          <w:sz w:val="24"/>
          <w:szCs w:val="24"/>
        </w:rPr>
        <w:t>Bond</w:t>
      </w:r>
      <w:r w:rsidR="00E8770D" w:rsidRPr="00E8770D">
        <w:rPr>
          <w:rFonts w:ascii="Arial" w:hAnsi="Arial" w:cs="Arial"/>
          <w:sz w:val="24"/>
          <w:szCs w:val="24"/>
        </w:rPr>
        <w:t xml:space="preserve"> Series</w:t>
      </w:r>
      <w:r w:rsidRPr="00E8770D">
        <w:rPr>
          <w:rFonts w:ascii="Arial" w:hAnsi="Arial" w:cs="Arial"/>
          <w:sz w:val="24"/>
          <w:szCs w:val="24"/>
        </w:rPr>
        <w:t xml:space="preserve">, the Developer and the District executed a </w:t>
      </w:r>
      <w:r w:rsidR="00E8770D" w:rsidRPr="00E8770D">
        <w:rPr>
          <w:rFonts w:ascii="Arial" w:hAnsi="Arial" w:cs="Arial"/>
          <w:sz w:val="24"/>
          <w:szCs w:val="24"/>
        </w:rPr>
        <w:t xml:space="preserve">document entitled the 2015 Assessment Acknowledgement and True </w:t>
      </w:r>
      <w:proofErr w:type="gramStart"/>
      <w:r w:rsidR="00E8770D" w:rsidRPr="00E8770D">
        <w:rPr>
          <w:rFonts w:ascii="Arial" w:hAnsi="Arial" w:cs="Arial"/>
          <w:sz w:val="24"/>
          <w:szCs w:val="24"/>
        </w:rPr>
        <w:t>Up</w:t>
      </w:r>
      <w:proofErr w:type="gramEnd"/>
      <w:r w:rsidR="00E8770D" w:rsidRPr="00E8770D">
        <w:rPr>
          <w:rFonts w:ascii="Arial" w:hAnsi="Arial" w:cs="Arial"/>
          <w:sz w:val="24"/>
          <w:szCs w:val="24"/>
        </w:rPr>
        <w:t xml:space="preserve"> Agreement (“</w:t>
      </w:r>
      <w:r w:rsidR="00E8770D" w:rsidRPr="00474B4D">
        <w:rPr>
          <w:rFonts w:ascii="Arial" w:hAnsi="Arial" w:cs="Arial"/>
          <w:i/>
          <w:sz w:val="24"/>
          <w:szCs w:val="24"/>
          <w:u w:color="00B050"/>
        </w:rPr>
        <w:t>2015 True-Up Agreement</w:t>
      </w:r>
      <w:r w:rsidR="00E8770D" w:rsidRPr="00474B4D">
        <w:rPr>
          <w:rFonts w:ascii="Arial" w:hAnsi="Arial" w:cs="Arial"/>
          <w:sz w:val="24"/>
          <w:szCs w:val="24"/>
          <w:u w:val="single" w:color="00B050"/>
        </w:rPr>
        <w:t>”</w:t>
      </w:r>
      <w:r w:rsidR="00E8770D" w:rsidRPr="00E8770D">
        <w:rPr>
          <w:rFonts w:ascii="Arial" w:hAnsi="Arial" w:cs="Arial"/>
          <w:sz w:val="24"/>
          <w:szCs w:val="24"/>
        </w:rPr>
        <w:t>) at the time that the District issued the 2015 Bond Series to refinance the 2004 Bond Series</w:t>
      </w:r>
      <w:r w:rsidR="00E8770D">
        <w:rPr>
          <w:rFonts w:ascii="Arial" w:hAnsi="Arial" w:cs="Arial"/>
          <w:sz w:val="24"/>
          <w:szCs w:val="24"/>
        </w:rPr>
        <w:t xml:space="preserve">.  </w:t>
      </w:r>
      <w:r w:rsidR="007D52EE" w:rsidRPr="00474B4D">
        <w:rPr>
          <w:rFonts w:ascii="Arial" w:hAnsi="Arial" w:cs="Arial"/>
          <w:sz w:val="24"/>
          <w:szCs w:val="24"/>
          <w:u w:val="thick" w:color="00B050"/>
        </w:rPr>
        <w:t>See Exhibit B</w:t>
      </w:r>
      <w:r w:rsidR="007D52EE" w:rsidRPr="00474B4D">
        <w:rPr>
          <w:rFonts w:ascii="Arial" w:hAnsi="Arial" w:cs="Arial"/>
          <w:sz w:val="24"/>
          <w:szCs w:val="24"/>
        </w:rPr>
        <w:t>.</w:t>
      </w:r>
      <w:r w:rsidR="007D52EE">
        <w:rPr>
          <w:rFonts w:ascii="Arial" w:hAnsi="Arial" w:cs="Arial"/>
          <w:sz w:val="24"/>
          <w:szCs w:val="24"/>
        </w:rPr>
        <w:t xml:space="preserve">  </w:t>
      </w:r>
      <w:r w:rsidR="00E8770D">
        <w:rPr>
          <w:rFonts w:ascii="Arial" w:hAnsi="Arial" w:cs="Arial"/>
          <w:sz w:val="24"/>
          <w:szCs w:val="24"/>
        </w:rPr>
        <w:t>The pertinent language from that document reads:</w:t>
      </w:r>
    </w:p>
    <w:p w:rsidR="00FB5E40" w:rsidRDefault="00E8770D" w:rsidP="008856B1">
      <w:pPr>
        <w:spacing w:line="480" w:lineRule="auto"/>
        <w:contextualSpacing/>
        <w:jc w:val="center"/>
        <w:rPr>
          <w:rFonts w:ascii="Arial" w:hAnsi="Arial" w:cs="Arial"/>
          <w:sz w:val="27"/>
          <w:szCs w:val="24"/>
        </w:rPr>
      </w:pPr>
      <w:r>
        <w:rPr>
          <w:rFonts w:ascii="Arial" w:hAnsi="Arial" w:cs="Arial"/>
          <w:noProof/>
          <w:sz w:val="27"/>
          <w:szCs w:val="24"/>
        </w:rPr>
        <w:drawing>
          <wp:inline distT="0" distB="0" distL="0" distR="0">
            <wp:extent cx="5943600" cy="1955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 True Up Agreement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E40">
        <w:rPr>
          <w:rFonts w:ascii="Arial" w:hAnsi="Arial" w:cs="Arial"/>
          <w:noProof/>
          <w:sz w:val="27"/>
          <w:szCs w:val="24"/>
        </w:rPr>
        <w:drawing>
          <wp:inline distT="0" distB="0" distL="0" distR="0">
            <wp:extent cx="5943600" cy="4108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 True Up Agreemen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70D" w:rsidRPr="006C062D" w:rsidRDefault="00E8770D" w:rsidP="008856B1">
      <w:pPr>
        <w:spacing w:line="480" w:lineRule="auto"/>
        <w:contextualSpacing/>
        <w:jc w:val="center"/>
        <w:rPr>
          <w:rFonts w:ascii="Arial" w:hAnsi="Arial" w:cs="Arial"/>
          <w:b/>
          <w:sz w:val="27"/>
          <w:szCs w:val="24"/>
        </w:rPr>
      </w:pPr>
      <w:r w:rsidRPr="006C062D">
        <w:rPr>
          <w:rFonts w:ascii="Arial" w:hAnsi="Arial" w:cs="Arial"/>
          <w:b/>
          <w:sz w:val="27"/>
          <w:szCs w:val="24"/>
        </w:rPr>
        <w:t>*</w:t>
      </w:r>
      <w:r w:rsidR="006C062D" w:rsidRPr="006C062D">
        <w:rPr>
          <w:rFonts w:ascii="Arial" w:hAnsi="Arial" w:cs="Arial"/>
          <w:b/>
          <w:sz w:val="27"/>
          <w:szCs w:val="24"/>
        </w:rPr>
        <w:t xml:space="preserve"> </w:t>
      </w:r>
      <w:r w:rsidRPr="006C062D">
        <w:rPr>
          <w:rFonts w:ascii="Arial" w:hAnsi="Arial" w:cs="Arial"/>
          <w:b/>
          <w:sz w:val="27"/>
          <w:szCs w:val="24"/>
        </w:rPr>
        <w:t>*</w:t>
      </w:r>
      <w:r w:rsidR="006C062D" w:rsidRPr="006C062D">
        <w:rPr>
          <w:rFonts w:ascii="Arial" w:hAnsi="Arial" w:cs="Arial"/>
          <w:b/>
          <w:sz w:val="27"/>
          <w:szCs w:val="24"/>
        </w:rPr>
        <w:t xml:space="preserve"> </w:t>
      </w:r>
      <w:r w:rsidRPr="006C062D">
        <w:rPr>
          <w:rFonts w:ascii="Arial" w:hAnsi="Arial" w:cs="Arial"/>
          <w:b/>
          <w:sz w:val="27"/>
          <w:szCs w:val="24"/>
        </w:rPr>
        <w:t>*</w:t>
      </w:r>
      <w:r w:rsidR="006C062D">
        <w:rPr>
          <w:rFonts w:ascii="Arial" w:hAnsi="Arial" w:cs="Arial"/>
          <w:b/>
          <w:sz w:val="27"/>
          <w:szCs w:val="24"/>
        </w:rPr>
        <w:t xml:space="preserve"> *</w:t>
      </w:r>
    </w:p>
    <w:p w:rsidR="00E8770D" w:rsidRPr="00E8770D" w:rsidRDefault="006C062D" w:rsidP="008856B1">
      <w:pPr>
        <w:spacing w:line="480" w:lineRule="auto"/>
        <w:contextualSpacing/>
        <w:jc w:val="center"/>
        <w:rPr>
          <w:rFonts w:ascii="Arial" w:hAnsi="Arial" w:cs="Arial"/>
          <w:b/>
          <w:sz w:val="27"/>
          <w:szCs w:val="24"/>
        </w:rPr>
      </w:pPr>
      <w:r>
        <w:rPr>
          <w:rFonts w:ascii="Arial" w:hAnsi="Arial" w:cs="Arial"/>
          <w:b/>
          <w:noProof/>
          <w:sz w:val="27"/>
          <w:szCs w:val="24"/>
        </w:rPr>
        <w:drawing>
          <wp:inline distT="0" distB="0" distL="0" distR="0">
            <wp:extent cx="5943600" cy="12680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 True Up Agreemen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2D" w:rsidRDefault="006C062D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True-Up Mechanism is described in the referenced 2004 Assessment Methodology Report,</w:t>
      </w:r>
      <w:r w:rsidR="007D52EE">
        <w:rPr>
          <w:rFonts w:ascii="Arial" w:hAnsi="Arial" w:cs="Arial"/>
          <w:sz w:val="24"/>
          <w:szCs w:val="24"/>
        </w:rPr>
        <w:t xml:space="preserve"> </w:t>
      </w:r>
      <w:r w:rsidR="007D52EE" w:rsidRPr="00474B4D">
        <w:rPr>
          <w:rFonts w:ascii="Arial" w:hAnsi="Arial" w:cs="Arial"/>
          <w:sz w:val="24"/>
          <w:szCs w:val="24"/>
          <w:u w:val="thick" w:color="00B050"/>
        </w:rPr>
        <w:t>Exhibit C</w:t>
      </w:r>
      <w:r w:rsidR="007D52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was completed by Severn Trent at the time that the 2004 Bond Series was issued, as follows:</w:t>
      </w:r>
    </w:p>
    <w:p w:rsidR="006C062D" w:rsidRDefault="006C062D" w:rsidP="008856B1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915326" cy="4214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4 Methodology Report True Up Langu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421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EE" w:rsidRDefault="007D52EE" w:rsidP="008856B1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Additionally,</w:t>
      </w:r>
      <w:r w:rsidR="00720C48">
        <w:rPr>
          <w:rFonts w:ascii="Arial" w:hAnsi="Arial" w:cs="Arial"/>
          <w:sz w:val="24"/>
          <w:szCs w:val="24"/>
        </w:rPr>
        <w:t xml:space="preserve"> the District’s performance of the True-Up a</w:t>
      </w:r>
      <w:r>
        <w:rPr>
          <w:rFonts w:ascii="Arial" w:hAnsi="Arial" w:cs="Arial"/>
          <w:sz w:val="24"/>
          <w:szCs w:val="24"/>
        </w:rPr>
        <w:t xml:space="preserve">nalysis </w:t>
      </w:r>
      <w:r w:rsidR="00555FCD">
        <w:rPr>
          <w:rFonts w:ascii="Arial" w:hAnsi="Arial" w:cs="Arial"/>
          <w:sz w:val="24"/>
          <w:szCs w:val="24"/>
        </w:rPr>
        <w:t>at the time of platting</w:t>
      </w:r>
      <w:r w:rsidR="00720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720C48">
        <w:rPr>
          <w:rFonts w:ascii="Arial" w:hAnsi="Arial" w:cs="Arial"/>
          <w:sz w:val="24"/>
          <w:szCs w:val="24"/>
        </w:rPr>
        <w:t xml:space="preserve">discussed </w:t>
      </w:r>
      <w:r>
        <w:rPr>
          <w:rFonts w:ascii="Arial" w:hAnsi="Arial" w:cs="Arial"/>
          <w:sz w:val="24"/>
          <w:szCs w:val="24"/>
        </w:rPr>
        <w:t>in another section of the 2004 Assessment Methodol</w:t>
      </w:r>
      <w:r w:rsidR="00720C48">
        <w:rPr>
          <w:rFonts w:ascii="Arial" w:hAnsi="Arial" w:cs="Arial"/>
          <w:sz w:val="24"/>
          <w:szCs w:val="24"/>
        </w:rPr>
        <w:t>ogy Report</w:t>
      </w:r>
      <w:r>
        <w:rPr>
          <w:rFonts w:ascii="Arial" w:hAnsi="Arial" w:cs="Arial"/>
          <w:sz w:val="24"/>
          <w:szCs w:val="24"/>
        </w:rPr>
        <w:t>:</w:t>
      </w:r>
    </w:p>
    <w:p w:rsidR="007D52EE" w:rsidRDefault="007D52EE" w:rsidP="008856B1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15326" cy="2126164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cessing the pla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628" w:rsidRDefault="00AB51A1" w:rsidP="008856B1">
      <w:pPr>
        <w:spacing w:line="480" w:lineRule="auto"/>
        <w:ind w:firstLine="720"/>
        <w:contextualSpacing/>
        <w:jc w:val="both"/>
        <w:rPr>
          <w:rStyle w:val="number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The purpose of a </w:t>
      </w:r>
      <w:r w:rsidR="009F71E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rue-</w:t>
      </w:r>
      <w:r w:rsidR="009F71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p </w:t>
      </w:r>
      <w:r w:rsidR="009F71E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echanism is the prevent the buildup of debt </w:t>
      </w:r>
      <w:r w:rsidR="008E49F0">
        <w:rPr>
          <w:rFonts w:ascii="Arial" w:hAnsi="Arial" w:cs="Arial"/>
          <w:sz w:val="24"/>
          <w:szCs w:val="24"/>
        </w:rPr>
        <w:t xml:space="preserve">on undeveloped property </w:t>
      </w:r>
      <w:r>
        <w:rPr>
          <w:rFonts w:ascii="Arial" w:hAnsi="Arial" w:cs="Arial"/>
          <w:sz w:val="24"/>
          <w:szCs w:val="24"/>
        </w:rPr>
        <w:t xml:space="preserve">that could create future assessment problems.  Here, the pertinent documents state that the District is to perform the True-Up analysis every time </w:t>
      </w:r>
      <w:r>
        <w:rPr>
          <w:rFonts w:ascii="Arial" w:hAnsi="Arial" w:cs="Arial"/>
          <w:sz w:val="24"/>
          <w:szCs w:val="24"/>
        </w:rPr>
        <w:lastRenderedPageBreak/>
        <w:t>a plat is “pres</w:t>
      </w:r>
      <w:r w:rsidRPr="00AB4628">
        <w:rPr>
          <w:rFonts w:ascii="Arial" w:hAnsi="Arial" w:cs="Arial"/>
          <w:sz w:val="24"/>
          <w:szCs w:val="24"/>
        </w:rPr>
        <w:t>ented” or “submitted.”</w:t>
      </w:r>
      <w:r w:rsidR="00AB4628">
        <w:rPr>
          <w:rFonts w:ascii="Arial" w:hAnsi="Arial" w:cs="Arial"/>
          <w:sz w:val="24"/>
          <w:szCs w:val="24"/>
        </w:rPr>
        <w:t xml:space="preserve">  </w:t>
      </w:r>
      <w:r w:rsidR="00AB4628" w:rsidRPr="00AB4628">
        <w:rPr>
          <w:rFonts w:ascii="Arial" w:hAnsi="Arial" w:cs="Arial"/>
          <w:sz w:val="24"/>
          <w:szCs w:val="24"/>
        </w:rPr>
        <w:t>In Osceola County, landowners are generally required to go through the formal platting process contained in Chapter 177, Florida Statutes</w:t>
      </w:r>
      <w:r w:rsidR="00EE0ED5">
        <w:rPr>
          <w:rFonts w:ascii="Arial" w:hAnsi="Arial" w:cs="Arial"/>
          <w:sz w:val="24"/>
          <w:szCs w:val="24"/>
        </w:rPr>
        <w:t>,</w:t>
      </w:r>
      <w:r w:rsidR="00AB4628" w:rsidRPr="00AB4628">
        <w:rPr>
          <w:rFonts w:ascii="Arial" w:hAnsi="Arial" w:cs="Arial"/>
          <w:sz w:val="24"/>
          <w:szCs w:val="24"/>
        </w:rPr>
        <w:t xml:space="preserve"> when they wish to subdivide land. </w:t>
      </w:r>
      <w:r w:rsidR="00AB4628">
        <w:rPr>
          <w:rFonts w:ascii="Arial" w:hAnsi="Arial" w:cs="Arial"/>
          <w:sz w:val="24"/>
          <w:szCs w:val="24"/>
        </w:rPr>
        <w:t xml:space="preserve"> </w:t>
      </w:r>
      <w:r w:rsidR="00AB4628" w:rsidRPr="00AB462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Osceola County Land Development Code Chapter 2.1.1(I).   Plats must be approved by the local governing body, which in this case is Osceola County, and are recorded following such approval.  </w:t>
      </w:r>
      <w:r w:rsidR="00AB4628" w:rsidRPr="00AB4628">
        <w:rPr>
          <w:rFonts w:ascii="Arial" w:hAnsi="Arial" w:cs="Arial"/>
          <w:sz w:val="24"/>
          <w:szCs w:val="24"/>
          <w:shd w:val="clear" w:color="auto" w:fill="FFFFFF"/>
        </w:rPr>
        <w:t>§§</w:t>
      </w:r>
      <w:r w:rsidR="00AB4628" w:rsidRPr="00AB462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177.071, 177.111, Fla. Stat. (2017). </w:t>
      </w:r>
      <w:r w:rsidR="00AB462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Accordingly, we opine that 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the performance of the True-Up analysis by the District is 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required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anytime that a plat is submitted </w:t>
      </w:r>
      <w:r w:rsidR="00433D14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>and approved by the County</w:t>
      </w:r>
      <w:r w:rsidR="00704C9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and then subsequently presented to the District by the Developer</w:t>
      </w:r>
      <w:r w:rsidR="00A41D91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to allow</w:t>
      </w:r>
      <w:r w:rsidR="00577579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the True-Up analysis to occur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>.</w:t>
      </w:r>
    </w:p>
    <w:p w:rsidR="006B6068" w:rsidRPr="00AB4628" w:rsidRDefault="006B6068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>At the time that a plat is submitted</w:t>
      </w:r>
      <w:r w:rsidR="001A5284">
        <w:rPr>
          <w:rStyle w:val="number"/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 certain amount of debt is allocated to the property within that plat.  According to the documents, to perform the True-Up analysis the District must then determine if the 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amount of debt </w:t>
      </w:r>
      <w:r w:rsidR="001A5284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that will be 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allocated to the</w:t>
      </w: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property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that remains </w:t>
      </w:r>
      <w:proofErr w:type="spellStart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unplatted</w:t>
      </w:r>
      <w:proofErr w:type="spellEnd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after the new plat</w:t>
      </w: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exceeds the per acre threshold.  If the per acre threshold is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exceeded, the Developer is required to make a density reduction payment so that the threshold is no longer exceeded.  In other words, the Developer is required to “buy-down” the debt on the remaining </w:t>
      </w:r>
      <w:proofErr w:type="spellStart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unplatted</w:t>
      </w:r>
      <w:proofErr w:type="spellEnd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properties each time a plat is submitted.</w:t>
      </w:r>
    </w:p>
    <w:p w:rsidR="007D52EE" w:rsidRDefault="007D52EE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purposes of illustration: if you had a district made up of</w:t>
      </w:r>
      <w:r w:rsidRPr="008E49F0">
        <w:rPr>
          <w:rFonts w:ascii="Arial" w:hAnsi="Arial" w:cs="Arial"/>
          <w:sz w:val="24"/>
          <w:szCs w:val="24"/>
        </w:rPr>
        <w:t xml:space="preserve"> 100 acres and the total debt is $100, your per acre threshold is $1 per</w:t>
      </w:r>
      <w:r>
        <w:rPr>
          <w:rFonts w:ascii="Arial" w:hAnsi="Arial" w:cs="Arial"/>
          <w:sz w:val="24"/>
          <w:szCs w:val="24"/>
        </w:rPr>
        <w:t xml:space="preserve"> acre.  </w:t>
      </w:r>
      <w:r w:rsidRPr="008E49F0">
        <w:rPr>
          <w:rFonts w:ascii="Arial" w:hAnsi="Arial" w:cs="Arial"/>
          <w:sz w:val="24"/>
          <w:szCs w:val="24"/>
        </w:rPr>
        <w:t xml:space="preserve">If one neighborhood </w:t>
      </w:r>
      <w:r>
        <w:rPr>
          <w:rFonts w:ascii="Arial" w:hAnsi="Arial" w:cs="Arial"/>
          <w:sz w:val="24"/>
          <w:szCs w:val="24"/>
        </w:rPr>
        <w:t>consisting of 25 acres is</w:t>
      </w:r>
      <w:r w:rsidRPr="008E49F0">
        <w:rPr>
          <w:rFonts w:ascii="Arial" w:hAnsi="Arial" w:cs="Arial"/>
          <w:sz w:val="24"/>
          <w:szCs w:val="24"/>
        </w:rPr>
        <w:t xml:space="preserve"> then</w:t>
      </w:r>
      <w:r>
        <w:rPr>
          <w:rFonts w:ascii="Arial" w:hAnsi="Arial" w:cs="Arial"/>
          <w:sz w:val="24"/>
          <w:szCs w:val="24"/>
        </w:rPr>
        <w:t xml:space="preserve"> platted</w:t>
      </w:r>
      <w:r w:rsidRPr="008E49F0">
        <w:rPr>
          <w:rFonts w:ascii="Arial" w:hAnsi="Arial" w:cs="Arial"/>
          <w:sz w:val="24"/>
          <w:szCs w:val="24"/>
        </w:rPr>
        <w:t xml:space="preserve"> and the total amount of the debt allocated to the neighborhood based on the </w:t>
      </w:r>
      <w:r>
        <w:rPr>
          <w:rFonts w:ascii="Arial" w:hAnsi="Arial" w:cs="Arial"/>
          <w:sz w:val="24"/>
          <w:szCs w:val="24"/>
        </w:rPr>
        <w:t>max</w:t>
      </w:r>
      <w:r w:rsidR="00A41D91">
        <w:rPr>
          <w:rFonts w:ascii="Arial" w:hAnsi="Arial" w:cs="Arial"/>
          <w:sz w:val="24"/>
          <w:szCs w:val="24"/>
        </w:rPr>
        <w:t>imum</w:t>
      </w:r>
      <w:r w:rsidR="0075655D">
        <w:rPr>
          <w:rFonts w:ascii="Arial" w:hAnsi="Arial" w:cs="Arial"/>
          <w:sz w:val="24"/>
          <w:szCs w:val="24"/>
        </w:rPr>
        <w:t xml:space="preserve"> special assessment amount</w:t>
      </w:r>
      <w:r>
        <w:rPr>
          <w:rFonts w:ascii="Arial" w:hAnsi="Arial" w:cs="Arial"/>
          <w:sz w:val="24"/>
          <w:szCs w:val="24"/>
        </w:rPr>
        <w:t xml:space="preserve"> per lot</w:t>
      </w:r>
      <w:r w:rsidRPr="008E49F0">
        <w:rPr>
          <w:rFonts w:ascii="Arial" w:hAnsi="Arial" w:cs="Arial"/>
          <w:sz w:val="24"/>
          <w:szCs w:val="24"/>
        </w:rPr>
        <w:t xml:space="preserve"> is $20, then the debt on the remaining </w:t>
      </w: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 w:rsidRPr="008E49F0">
        <w:rPr>
          <w:rFonts w:ascii="Arial" w:hAnsi="Arial" w:cs="Arial"/>
          <w:sz w:val="24"/>
          <w:szCs w:val="24"/>
        </w:rPr>
        <w:t xml:space="preserve"> acres is now $80.  $80/75 </w:t>
      </w:r>
      <w:proofErr w:type="spellStart"/>
      <w:r w:rsidR="008F6E91">
        <w:rPr>
          <w:rFonts w:ascii="Arial" w:hAnsi="Arial" w:cs="Arial"/>
          <w:sz w:val="24"/>
          <w:szCs w:val="24"/>
        </w:rPr>
        <w:t>unplatted</w:t>
      </w:r>
      <w:proofErr w:type="spellEnd"/>
      <w:r w:rsidR="008F6E91">
        <w:rPr>
          <w:rFonts w:ascii="Arial" w:hAnsi="Arial" w:cs="Arial"/>
          <w:sz w:val="24"/>
          <w:szCs w:val="24"/>
        </w:rPr>
        <w:t xml:space="preserve"> </w:t>
      </w:r>
      <w:r w:rsidRPr="008E49F0">
        <w:rPr>
          <w:rFonts w:ascii="Arial" w:hAnsi="Arial" w:cs="Arial"/>
          <w:sz w:val="24"/>
          <w:szCs w:val="24"/>
        </w:rPr>
        <w:t xml:space="preserve">acres=$1.067 per acre.  </w:t>
      </w:r>
      <w:r>
        <w:rPr>
          <w:rFonts w:ascii="Arial" w:hAnsi="Arial" w:cs="Arial"/>
          <w:sz w:val="24"/>
          <w:szCs w:val="24"/>
        </w:rPr>
        <w:t xml:space="preserve">The per acre threshold is exceeded on the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>
        <w:rPr>
          <w:rFonts w:ascii="Arial" w:hAnsi="Arial" w:cs="Arial"/>
          <w:sz w:val="24"/>
          <w:szCs w:val="24"/>
        </w:rPr>
        <w:t xml:space="preserve"> acres after the submitted plat.  Under the True-Up A</w:t>
      </w:r>
      <w:r w:rsidRPr="008E49F0">
        <w:rPr>
          <w:rFonts w:ascii="Arial" w:hAnsi="Arial" w:cs="Arial"/>
          <w:sz w:val="24"/>
          <w:szCs w:val="24"/>
        </w:rPr>
        <w:t xml:space="preserve">greement, </w:t>
      </w:r>
      <w:r>
        <w:rPr>
          <w:rFonts w:ascii="Arial" w:hAnsi="Arial" w:cs="Arial"/>
          <w:sz w:val="24"/>
          <w:szCs w:val="24"/>
        </w:rPr>
        <w:t xml:space="preserve">the </w:t>
      </w:r>
      <w:r w:rsidR="006B7BB6">
        <w:rPr>
          <w:rFonts w:ascii="Arial" w:hAnsi="Arial" w:cs="Arial"/>
          <w:sz w:val="24"/>
          <w:szCs w:val="24"/>
        </w:rPr>
        <w:t>developer would be required to</w:t>
      </w:r>
      <w:r w:rsidR="00A41D91">
        <w:rPr>
          <w:rFonts w:ascii="Arial" w:hAnsi="Arial" w:cs="Arial"/>
          <w:sz w:val="24"/>
          <w:szCs w:val="24"/>
        </w:rPr>
        <w:t xml:space="preserve"> </w:t>
      </w:r>
      <w:r w:rsidR="00A41D91">
        <w:rPr>
          <w:rFonts w:ascii="Arial" w:hAnsi="Arial" w:cs="Arial"/>
          <w:sz w:val="24"/>
          <w:szCs w:val="24"/>
        </w:rPr>
        <w:lastRenderedPageBreak/>
        <w:t>remit a</w:t>
      </w:r>
      <w:r w:rsidRPr="008E49F0">
        <w:rPr>
          <w:rFonts w:ascii="Arial" w:hAnsi="Arial" w:cs="Arial"/>
          <w:sz w:val="24"/>
          <w:szCs w:val="24"/>
        </w:rPr>
        <w:t xml:space="preserve"> $5 </w:t>
      </w:r>
      <w:r w:rsidR="00A41D91">
        <w:rPr>
          <w:rFonts w:ascii="Arial" w:hAnsi="Arial" w:cs="Arial"/>
          <w:sz w:val="24"/>
          <w:szCs w:val="24"/>
        </w:rPr>
        <w:t xml:space="preserve">density reduction payment </w:t>
      </w:r>
      <w:r w:rsidRPr="008E49F0">
        <w:rPr>
          <w:rFonts w:ascii="Arial" w:hAnsi="Arial" w:cs="Arial"/>
          <w:sz w:val="24"/>
          <w:szCs w:val="24"/>
        </w:rPr>
        <w:t>to bring the debt pe</w:t>
      </w:r>
      <w:r>
        <w:rPr>
          <w:rFonts w:ascii="Arial" w:hAnsi="Arial" w:cs="Arial"/>
          <w:sz w:val="24"/>
          <w:szCs w:val="24"/>
        </w:rPr>
        <w:t xml:space="preserve">r acre amount on the </w:t>
      </w:r>
      <w:r w:rsidR="00720C48">
        <w:rPr>
          <w:rFonts w:ascii="Arial" w:hAnsi="Arial" w:cs="Arial"/>
          <w:sz w:val="24"/>
          <w:szCs w:val="24"/>
        </w:rPr>
        <w:t xml:space="preserve">remaining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 w:rsidRPr="008E49F0">
        <w:rPr>
          <w:rFonts w:ascii="Arial" w:hAnsi="Arial" w:cs="Arial"/>
          <w:sz w:val="24"/>
          <w:szCs w:val="24"/>
        </w:rPr>
        <w:t xml:space="preserve"> acres back down to $1. </w:t>
      </w:r>
      <w:r>
        <w:rPr>
          <w:rFonts w:ascii="Arial" w:hAnsi="Arial" w:cs="Arial"/>
          <w:sz w:val="24"/>
          <w:szCs w:val="24"/>
        </w:rPr>
        <w:t xml:space="preserve"> $80-$</w:t>
      </w:r>
      <w:r w:rsidR="000C171C">
        <w:rPr>
          <w:rFonts w:ascii="Arial" w:hAnsi="Arial" w:cs="Arial"/>
          <w:sz w:val="24"/>
          <w:szCs w:val="24"/>
        </w:rPr>
        <w:t xml:space="preserve">5=$75.  $75/75 </w:t>
      </w:r>
      <w:proofErr w:type="spellStart"/>
      <w:r w:rsidR="000C171C">
        <w:rPr>
          <w:rFonts w:ascii="Arial" w:hAnsi="Arial" w:cs="Arial"/>
          <w:sz w:val="24"/>
          <w:szCs w:val="24"/>
        </w:rPr>
        <w:t>unplatted</w:t>
      </w:r>
      <w:proofErr w:type="spellEnd"/>
      <w:r w:rsidR="000C171C">
        <w:rPr>
          <w:rFonts w:ascii="Arial" w:hAnsi="Arial" w:cs="Arial"/>
          <w:sz w:val="24"/>
          <w:szCs w:val="24"/>
        </w:rPr>
        <w:t xml:space="preserve"> acres=</w:t>
      </w:r>
      <w:r>
        <w:rPr>
          <w:rFonts w:ascii="Arial" w:hAnsi="Arial" w:cs="Arial"/>
          <w:sz w:val="24"/>
          <w:szCs w:val="24"/>
        </w:rPr>
        <w:t xml:space="preserve">$1 per acre. </w:t>
      </w:r>
      <w:r w:rsidRPr="008E49F0">
        <w:rPr>
          <w:rFonts w:ascii="Arial" w:hAnsi="Arial" w:cs="Arial"/>
          <w:sz w:val="24"/>
          <w:szCs w:val="24"/>
        </w:rPr>
        <w:t xml:space="preserve"> </w:t>
      </w:r>
    </w:p>
    <w:p w:rsidR="00111973" w:rsidRDefault="00541B5D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date, the District has never required a density reduction payment on the lands subject to the 2015 Bonds pursuant to the True-Up </w:t>
      </w:r>
      <w:r w:rsidR="00720C4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echanism.   In 2007, large tracts of land subject to the 2015 (then 2004) Bonds were platted</w:t>
      </w:r>
      <w:r w:rsidR="001A5284">
        <w:rPr>
          <w:rFonts w:ascii="Arial" w:hAnsi="Arial" w:cs="Arial"/>
          <w:sz w:val="24"/>
          <w:szCs w:val="24"/>
        </w:rPr>
        <w:t xml:space="preserve"> (including neighborhoods J, K, &amp; L</w:t>
      </w:r>
      <w:r w:rsidR="001A5284" w:rsidRPr="00474B4D">
        <w:rPr>
          <w:rFonts w:ascii="Arial" w:hAnsi="Arial" w:cs="Arial"/>
          <w:sz w:val="24"/>
          <w:szCs w:val="24"/>
        </w:rPr>
        <w:t>)</w:t>
      </w:r>
      <w:r w:rsidR="00474B4D">
        <w:rPr>
          <w:rFonts w:ascii="Arial" w:hAnsi="Arial" w:cs="Arial"/>
          <w:sz w:val="24"/>
          <w:szCs w:val="24"/>
        </w:rPr>
        <w:t xml:space="preserve">. </w:t>
      </w:r>
      <w:r w:rsidRPr="00474B4D">
        <w:rPr>
          <w:rFonts w:ascii="Arial" w:hAnsi="Arial" w:cs="Arial"/>
          <w:sz w:val="24"/>
          <w:szCs w:val="24"/>
        </w:rPr>
        <w:t xml:space="preserve"> </w:t>
      </w:r>
      <w:r w:rsidR="007D52EE" w:rsidRPr="00474B4D">
        <w:rPr>
          <w:rFonts w:ascii="Arial" w:hAnsi="Arial" w:cs="Arial"/>
          <w:sz w:val="24"/>
          <w:szCs w:val="24"/>
          <w:u w:val="thick" w:color="00B050"/>
        </w:rPr>
        <w:t>Exhibit D</w:t>
      </w:r>
      <w:r w:rsidR="007D52EE" w:rsidRPr="00474B4D">
        <w:rPr>
          <w:rFonts w:ascii="Arial" w:hAnsi="Arial" w:cs="Arial"/>
          <w:sz w:val="24"/>
          <w:szCs w:val="24"/>
        </w:rPr>
        <w:t>.</w:t>
      </w:r>
      <w:r w:rsidR="007D52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Additionally, two replats of some of the land included in the 2007 plat </w:t>
      </w:r>
      <w:r w:rsidR="001A5284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also submitted and recorded</w:t>
      </w:r>
      <w:r w:rsidR="001A5284">
        <w:rPr>
          <w:rFonts w:ascii="Arial" w:hAnsi="Arial" w:cs="Arial"/>
          <w:sz w:val="24"/>
          <w:szCs w:val="24"/>
        </w:rPr>
        <w:t xml:space="preserve"> in 2015 and 2016 (neighborhoods I &amp; O</w:t>
      </w:r>
      <w:r w:rsidR="00100DEC">
        <w:rPr>
          <w:rFonts w:ascii="Arial" w:hAnsi="Arial" w:cs="Arial"/>
          <w:sz w:val="24"/>
          <w:szCs w:val="24"/>
        </w:rPr>
        <w:t>-1</w:t>
      </w:r>
      <w:r w:rsidR="001A5284">
        <w:rPr>
          <w:rFonts w:ascii="Arial" w:hAnsi="Arial" w:cs="Arial"/>
          <w:sz w:val="24"/>
          <w:szCs w:val="24"/>
        </w:rPr>
        <w:t xml:space="preserve">), </w:t>
      </w:r>
      <w:r w:rsidR="00A41D91">
        <w:rPr>
          <w:rFonts w:ascii="Arial" w:hAnsi="Arial" w:cs="Arial"/>
          <w:sz w:val="24"/>
          <w:szCs w:val="24"/>
        </w:rPr>
        <w:t>after</w:t>
      </w:r>
      <w:r w:rsidR="001A5284">
        <w:rPr>
          <w:rFonts w:ascii="Arial" w:hAnsi="Arial" w:cs="Arial"/>
          <w:sz w:val="24"/>
          <w:szCs w:val="24"/>
        </w:rPr>
        <w:t xml:space="preserve"> the execution of the 2015 True-Up Agreement</w:t>
      </w:r>
      <w:r>
        <w:rPr>
          <w:rFonts w:ascii="Arial" w:hAnsi="Arial" w:cs="Arial"/>
          <w:sz w:val="24"/>
          <w:szCs w:val="24"/>
        </w:rPr>
        <w:t>.</w:t>
      </w:r>
      <w:r w:rsidR="001A528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D52EE" w:rsidRPr="00474B4D">
        <w:rPr>
          <w:rFonts w:ascii="Arial" w:hAnsi="Arial" w:cs="Arial"/>
          <w:sz w:val="24"/>
          <w:szCs w:val="24"/>
          <w:u w:val="thick" w:color="00B050"/>
        </w:rPr>
        <w:t>Exhibits E &amp; F</w:t>
      </w:r>
      <w:r w:rsidR="007D52EE">
        <w:rPr>
          <w:rFonts w:ascii="Arial" w:hAnsi="Arial" w:cs="Arial"/>
          <w:sz w:val="24"/>
          <w:szCs w:val="24"/>
        </w:rPr>
        <w:t>.</w:t>
      </w:r>
      <w:proofErr w:type="gramEnd"/>
      <w:r w:rsidR="007D52EE">
        <w:rPr>
          <w:rFonts w:ascii="Arial" w:hAnsi="Arial" w:cs="Arial"/>
          <w:sz w:val="24"/>
          <w:szCs w:val="24"/>
        </w:rPr>
        <w:t xml:space="preserve">  </w:t>
      </w:r>
      <w:r w:rsidR="001A5284">
        <w:rPr>
          <w:rFonts w:ascii="Arial" w:hAnsi="Arial" w:cs="Arial"/>
          <w:sz w:val="24"/>
          <w:szCs w:val="24"/>
        </w:rPr>
        <w:t>It is our opinion that the True-Up analysis should have been performed at each of those plats.  It is also our opinion that a density reduction payment would have been due in 2007</w:t>
      </w:r>
      <w:r w:rsidR="00950022" w:rsidRPr="00C7521F">
        <w:rPr>
          <w:rStyle w:val="FootnoteReference"/>
          <w:rFonts w:ascii="Arial" w:hAnsi="Arial" w:cs="Arial"/>
          <w:sz w:val="24"/>
          <w:szCs w:val="24"/>
          <w:highlight w:val="magenta"/>
          <w:vertAlign w:val="superscript"/>
        </w:rPr>
        <w:footnoteReference w:id="1"/>
      </w:r>
      <w:r w:rsidR="00E05C7A" w:rsidRPr="008856B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05C7A">
        <w:rPr>
          <w:rFonts w:ascii="Arial" w:hAnsi="Arial" w:cs="Arial"/>
          <w:sz w:val="24"/>
          <w:szCs w:val="24"/>
        </w:rPr>
        <w:t>(and, consequently, in 2015 and</w:t>
      </w:r>
      <w:r w:rsidR="00A41D91">
        <w:rPr>
          <w:rFonts w:ascii="Arial" w:hAnsi="Arial" w:cs="Arial"/>
          <w:sz w:val="24"/>
          <w:szCs w:val="24"/>
        </w:rPr>
        <w:t>/or</w:t>
      </w:r>
      <w:r w:rsidR="00E05C7A">
        <w:rPr>
          <w:rFonts w:ascii="Arial" w:hAnsi="Arial" w:cs="Arial"/>
          <w:sz w:val="24"/>
          <w:szCs w:val="24"/>
        </w:rPr>
        <w:t xml:space="preserve"> 2016)</w:t>
      </w:r>
      <w:r w:rsidR="001A5284">
        <w:rPr>
          <w:rFonts w:ascii="Arial" w:hAnsi="Arial" w:cs="Arial"/>
          <w:sz w:val="24"/>
          <w:szCs w:val="24"/>
        </w:rPr>
        <w:t xml:space="preserve"> because the $47,046 per acre threshold would have been exceeded on the </w:t>
      </w:r>
      <w:proofErr w:type="spellStart"/>
      <w:r w:rsidR="001A5284">
        <w:rPr>
          <w:rFonts w:ascii="Arial" w:hAnsi="Arial" w:cs="Arial"/>
          <w:sz w:val="24"/>
          <w:szCs w:val="24"/>
        </w:rPr>
        <w:t>unplatted</w:t>
      </w:r>
      <w:proofErr w:type="spellEnd"/>
      <w:r w:rsidR="001A5284">
        <w:rPr>
          <w:rFonts w:ascii="Arial" w:hAnsi="Arial" w:cs="Arial"/>
          <w:sz w:val="24"/>
          <w:szCs w:val="24"/>
        </w:rPr>
        <w:t xml:space="preserve"> lands following the 2007 plat.  </w:t>
      </w:r>
    </w:p>
    <w:p w:rsidR="006F4140" w:rsidRDefault="006F4140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Severn Trent’s calculations, the debt per acre on the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>
        <w:rPr>
          <w:rFonts w:ascii="Arial" w:hAnsi="Arial" w:cs="Arial"/>
          <w:sz w:val="24"/>
          <w:szCs w:val="24"/>
        </w:rPr>
        <w:t xml:space="preserve"> lands subject to the 2015 Bonds </w:t>
      </w:r>
      <w:r w:rsidR="00127C8A">
        <w:rPr>
          <w:rFonts w:ascii="Arial" w:hAnsi="Arial" w:cs="Arial"/>
          <w:sz w:val="24"/>
          <w:szCs w:val="24"/>
        </w:rPr>
        <w:t xml:space="preserve">currently </w:t>
      </w:r>
      <w:r>
        <w:rPr>
          <w:rFonts w:ascii="Arial" w:hAnsi="Arial" w:cs="Arial"/>
          <w:sz w:val="24"/>
          <w:szCs w:val="24"/>
        </w:rPr>
        <w:t>exceeds the $47,046 threshold</w:t>
      </w:r>
      <w:r w:rsidR="00127C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474B4D">
        <w:rPr>
          <w:rFonts w:ascii="Arial" w:hAnsi="Arial" w:cs="Arial"/>
          <w:sz w:val="24"/>
          <w:szCs w:val="24"/>
          <w:u w:val="thick" w:color="00B050"/>
        </w:rPr>
        <w:t xml:space="preserve">See Exhibit </w:t>
      </w:r>
      <w:r w:rsidR="007D52EE" w:rsidRPr="00474B4D">
        <w:rPr>
          <w:rFonts w:ascii="Arial" w:hAnsi="Arial" w:cs="Arial"/>
          <w:sz w:val="24"/>
          <w:szCs w:val="24"/>
          <w:u w:val="thick" w:color="00B050"/>
        </w:rPr>
        <w:t>A</w:t>
      </w:r>
      <w:r w:rsidR="007D52EE">
        <w:rPr>
          <w:rFonts w:ascii="Arial" w:hAnsi="Arial" w:cs="Arial"/>
          <w:sz w:val="24"/>
          <w:szCs w:val="24"/>
        </w:rPr>
        <w:t xml:space="preserve"> (Excel Spreadsheet </w:t>
      </w:r>
      <w:r w:rsidR="007D52EE" w:rsidRPr="00474B4D">
        <w:rPr>
          <w:rFonts w:ascii="Arial" w:hAnsi="Arial" w:cs="Arial"/>
          <w:sz w:val="24"/>
          <w:szCs w:val="24"/>
          <w:u w:val="thick" w:color="00B050"/>
        </w:rPr>
        <w:t>Tab 1</w:t>
      </w:r>
      <w:r w:rsidR="007D52E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127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2015 True-Up Agreement states that: “If the District determines that the amount of debt on the land remaining after the plat is </w:t>
      </w:r>
      <w:r w:rsidRPr="00127C8A">
        <w:rPr>
          <w:rFonts w:ascii="Arial" w:hAnsi="Arial" w:cs="Arial"/>
          <w:b/>
          <w:i/>
          <w:sz w:val="24"/>
          <w:szCs w:val="24"/>
        </w:rPr>
        <w:t xml:space="preserve">ever </w:t>
      </w:r>
      <w:r>
        <w:rPr>
          <w:rFonts w:ascii="Arial" w:hAnsi="Arial" w:cs="Arial"/>
          <w:sz w:val="24"/>
          <w:szCs w:val="24"/>
        </w:rPr>
        <w:t xml:space="preserve">greater than the True Up Threshold, the Landowner/Developer shall remit to the District a density reduction payment (the “True Up payment”) so that the True Up Threshold is not exceeded and the District will use such payment to redeem or prepay the 2015 Bonds.”  </w:t>
      </w:r>
      <w:r w:rsidR="00A41D91">
        <w:rPr>
          <w:rFonts w:ascii="Arial" w:hAnsi="Arial" w:cs="Arial"/>
          <w:sz w:val="24"/>
          <w:szCs w:val="24"/>
        </w:rPr>
        <w:lastRenderedPageBreak/>
        <w:t xml:space="preserve">2015 True-Up Agreement § 1.3 </w:t>
      </w:r>
      <w:r w:rsidR="00127C8A">
        <w:rPr>
          <w:rFonts w:ascii="Arial" w:hAnsi="Arial" w:cs="Arial"/>
          <w:sz w:val="24"/>
          <w:szCs w:val="24"/>
        </w:rPr>
        <w:t xml:space="preserve">(emphasis added).  Based on that language, we would recommend that the District now determine that the amount of debt on the </w:t>
      </w:r>
      <w:proofErr w:type="spellStart"/>
      <w:r w:rsidR="00127C8A">
        <w:rPr>
          <w:rFonts w:ascii="Arial" w:hAnsi="Arial" w:cs="Arial"/>
          <w:sz w:val="24"/>
          <w:szCs w:val="24"/>
        </w:rPr>
        <w:t>unplatted</w:t>
      </w:r>
      <w:proofErr w:type="spellEnd"/>
      <w:r w:rsidR="00127C8A">
        <w:rPr>
          <w:rFonts w:ascii="Arial" w:hAnsi="Arial" w:cs="Arial"/>
          <w:sz w:val="24"/>
          <w:szCs w:val="24"/>
        </w:rPr>
        <w:t xml:space="preserve"> acres remaining after the last plat (neighborhood O</w:t>
      </w:r>
      <w:r w:rsidR="000C171C">
        <w:rPr>
          <w:rFonts w:ascii="Arial" w:hAnsi="Arial" w:cs="Arial"/>
          <w:sz w:val="24"/>
          <w:szCs w:val="24"/>
        </w:rPr>
        <w:t>-1</w:t>
      </w:r>
      <w:r w:rsidR="00127C8A">
        <w:rPr>
          <w:rFonts w:ascii="Arial" w:hAnsi="Arial" w:cs="Arial"/>
          <w:sz w:val="24"/>
          <w:szCs w:val="24"/>
        </w:rPr>
        <w:t xml:space="preserve">) exceeds the True-Up Threshold and a density reduction payment is required.  According to Severn Trent’s calculations, the amount of the density reduction </w:t>
      </w:r>
      <w:r w:rsidR="00127C8A" w:rsidRPr="00367E98">
        <w:rPr>
          <w:rFonts w:ascii="Arial" w:hAnsi="Arial" w:cs="Arial"/>
          <w:sz w:val="24"/>
          <w:szCs w:val="24"/>
          <w:u w:val="thick" w:color="FF0000"/>
        </w:rPr>
        <w:t>payment</w:t>
      </w:r>
      <w:r w:rsidR="000168CE" w:rsidRPr="00367E98">
        <w:rPr>
          <w:rFonts w:ascii="Arial" w:hAnsi="Arial" w:cs="Arial"/>
          <w:sz w:val="24"/>
          <w:szCs w:val="24"/>
          <w:u w:val="thick" w:color="FF0000"/>
        </w:rPr>
        <w:t xml:space="preserve"> </w:t>
      </w:r>
      <w:r w:rsidR="00127C8A" w:rsidRPr="00367E98">
        <w:rPr>
          <w:rFonts w:ascii="Arial" w:hAnsi="Arial" w:cs="Arial"/>
          <w:sz w:val="24"/>
          <w:szCs w:val="24"/>
          <w:u w:val="thick" w:color="FF0000"/>
        </w:rPr>
        <w:t>required</w:t>
      </w:r>
      <w:r w:rsidR="00127C8A">
        <w:rPr>
          <w:rFonts w:ascii="Arial" w:hAnsi="Arial" w:cs="Arial"/>
          <w:sz w:val="24"/>
          <w:szCs w:val="24"/>
        </w:rPr>
        <w:t xml:space="preserve"> to buy-down the debt on the </w:t>
      </w:r>
      <w:proofErr w:type="spellStart"/>
      <w:r w:rsidR="00127C8A">
        <w:rPr>
          <w:rFonts w:ascii="Arial" w:hAnsi="Arial" w:cs="Arial"/>
          <w:sz w:val="24"/>
          <w:szCs w:val="24"/>
        </w:rPr>
        <w:t>unplatted</w:t>
      </w:r>
      <w:proofErr w:type="spellEnd"/>
      <w:r w:rsidR="00127C8A">
        <w:rPr>
          <w:rFonts w:ascii="Arial" w:hAnsi="Arial" w:cs="Arial"/>
          <w:sz w:val="24"/>
          <w:szCs w:val="24"/>
        </w:rPr>
        <w:t xml:space="preserve"> acres subject to the </w:t>
      </w:r>
      <w:r w:rsidR="00127C8A" w:rsidRPr="00367E98">
        <w:rPr>
          <w:rFonts w:ascii="Arial" w:hAnsi="Arial" w:cs="Arial"/>
          <w:sz w:val="24"/>
          <w:szCs w:val="24"/>
          <w:u w:val="thick" w:color="FF0000"/>
        </w:rPr>
        <w:t>2015 Bonds</w:t>
      </w:r>
      <w:r w:rsidR="00127C8A">
        <w:rPr>
          <w:rFonts w:ascii="Arial" w:hAnsi="Arial" w:cs="Arial"/>
          <w:sz w:val="24"/>
          <w:szCs w:val="24"/>
        </w:rPr>
        <w:t xml:space="preserve"> is </w:t>
      </w:r>
      <w:r w:rsidR="00950022" w:rsidRPr="00367E98">
        <w:rPr>
          <w:rFonts w:ascii="Arial" w:hAnsi="Arial" w:cs="Arial"/>
          <w:b/>
          <w:sz w:val="24"/>
          <w:szCs w:val="24"/>
          <w:highlight w:val="yellow"/>
        </w:rPr>
        <w:t>$351,667.59</w:t>
      </w:r>
      <w:r w:rsidR="00AC3F1F">
        <w:rPr>
          <w:rFonts w:ascii="Arial" w:hAnsi="Arial" w:cs="Arial"/>
          <w:sz w:val="24"/>
          <w:szCs w:val="24"/>
        </w:rPr>
        <w:t>.</w:t>
      </w:r>
      <w:r w:rsidR="00AC6537" w:rsidRPr="00367E98">
        <w:rPr>
          <w:rStyle w:val="FootnoteReference"/>
          <w:rFonts w:ascii="Arial" w:hAnsi="Arial" w:cs="Arial"/>
          <w:sz w:val="24"/>
          <w:szCs w:val="24"/>
          <w:highlight w:val="magenta"/>
          <w:vertAlign w:val="superscript"/>
        </w:rPr>
        <w:footnoteReference w:id="2"/>
      </w:r>
    </w:p>
    <w:p w:rsidR="001A5284" w:rsidRDefault="00950022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this </w:t>
      </w:r>
      <w:r w:rsidR="003953D8">
        <w:rPr>
          <w:rFonts w:ascii="Arial" w:hAnsi="Arial" w:cs="Arial"/>
          <w:sz w:val="24"/>
          <w:szCs w:val="24"/>
        </w:rPr>
        <w:t>question</w:t>
      </w:r>
      <w:r>
        <w:rPr>
          <w:rFonts w:ascii="Arial" w:hAnsi="Arial" w:cs="Arial"/>
          <w:sz w:val="24"/>
          <w:szCs w:val="24"/>
        </w:rPr>
        <w:t xml:space="preserve"> initially arose</w:t>
      </w:r>
      <w:r w:rsidR="000168CE">
        <w:rPr>
          <w:rFonts w:ascii="Arial" w:hAnsi="Arial" w:cs="Arial"/>
          <w:sz w:val="24"/>
          <w:szCs w:val="24"/>
        </w:rPr>
        <w:t>, there was some discussion about amending the 2015 True-Up Agreement to raise the amount of the True-Up Threshold—thus, reducing or possibly eliminating a density reduction payment</w:t>
      </w:r>
      <w:r w:rsidR="00A41D91">
        <w:rPr>
          <w:rFonts w:ascii="Arial" w:hAnsi="Arial" w:cs="Arial"/>
          <w:sz w:val="24"/>
          <w:szCs w:val="24"/>
        </w:rPr>
        <w:t xml:space="preserve"> on the </w:t>
      </w:r>
      <w:proofErr w:type="spellStart"/>
      <w:r w:rsidR="00A41D91">
        <w:rPr>
          <w:rFonts w:ascii="Arial" w:hAnsi="Arial" w:cs="Arial"/>
          <w:sz w:val="24"/>
          <w:szCs w:val="24"/>
        </w:rPr>
        <w:t>unplatted</w:t>
      </w:r>
      <w:proofErr w:type="spellEnd"/>
      <w:r w:rsidR="00A41D91">
        <w:rPr>
          <w:rFonts w:ascii="Arial" w:hAnsi="Arial" w:cs="Arial"/>
          <w:sz w:val="24"/>
          <w:szCs w:val="24"/>
        </w:rPr>
        <w:t xml:space="preserve"> lands subject to the 2015 Bonds</w:t>
      </w:r>
      <w:r w:rsidR="000168CE">
        <w:rPr>
          <w:rFonts w:ascii="Arial" w:hAnsi="Arial" w:cs="Arial"/>
          <w:sz w:val="24"/>
          <w:szCs w:val="24"/>
        </w:rPr>
        <w:t>.  This is still an option that the Board could pursue.  However, it would not be our recommended course of action because obtaining an amendment to the 2015 True-Up Agreement requires obtaining an opinion of bond counsel and the majority consent of the 2015 bondholders.  Securing those two items would be a costly and time-consuming endeavor.  Additionally, it is our opinion that raising the True-Up</w:t>
      </w:r>
      <w:r w:rsidR="005F15CB">
        <w:rPr>
          <w:rFonts w:ascii="Arial" w:hAnsi="Arial" w:cs="Arial"/>
          <w:sz w:val="24"/>
          <w:szCs w:val="24"/>
        </w:rPr>
        <w:t xml:space="preserve"> </w:t>
      </w:r>
      <w:r w:rsidR="00A41D91">
        <w:rPr>
          <w:rFonts w:ascii="Arial" w:hAnsi="Arial" w:cs="Arial"/>
          <w:sz w:val="24"/>
          <w:szCs w:val="24"/>
        </w:rPr>
        <w:t>T</w:t>
      </w:r>
      <w:r w:rsidR="005F15CB">
        <w:rPr>
          <w:rFonts w:ascii="Arial" w:hAnsi="Arial" w:cs="Arial"/>
          <w:sz w:val="24"/>
          <w:szCs w:val="24"/>
        </w:rPr>
        <w:t>hreshold amount is not the proper method</w:t>
      </w:r>
      <w:r w:rsidR="000168CE">
        <w:rPr>
          <w:rFonts w:ascii="Arial" w:hAnsi="Arial" w:cs="Arial"/>
          <w:sz w:val="24"/>
          <w:szCs w:val="24"/>
        </w:rPr>
        <w:t xml:space="preserve"> to remedy the buildup of debt that has occurred on the </w:t>
      </w:r>
      <w:proofErr w:type="spellStart"/>
      <w:r w:rsidR="000168CE">
        <w:rPr>
          <w:rFonts w:ascii="Arial" w:hAnsi="Arial" w:cs="Arial"/>
          <w:sz w:val="24"/>
          <w:szCs w:val="24"/>
        </w:rPr>
        <w:t>unplatted</w:t>
      </w:r>
      <w:proofErr w:type="spellEnd"/>
      <w:r w:rsidR="000168CE">
        <w:rPr>
          <w:rFonts w:ascii="Arial" w:hAnsi="Arial" w:cs="Arial"/>
          <w:sz w:val="24"/>
          <w:szCs w:val="24"/>
        </w:rPr>
        <w:t xml:space="preserve"> acres.  Pursuant to the pertinent documents, requiring a density reduction payment under the Tru</w:t>
      </w:r>
      <w:r w:rsidR="005F15CB">
        <w:rPr>
          <w:rFonts w:ascii="Arial" w:hAnsi="Arial" w:cs="Arial"/>
          <w:sz w:val="24"/>
          <w:szCs w:val="24"/>
        </w:rPr>
        <w:t>e-Up Mechanism is the proper method</w:t>
      </w:r>
      <w:r w:rsidR="000168CE">
        <w:rPr>
          <w:rFonts w:ascii="Arial" w:hAnsi="Arial" w:cs="Arial"/>
          <w:sz w:val="24"/>
          <w:szCs w:val="24"/>
        </w:rPr>
        <w:t xml:space="preserve"> to remedy the buildup of debt.</w:t>
      </w:r>
    </w:p>
    <w:p w:rsidR="0005367C" w:rsidRPr="00B24F3A" w:rsidRDefault="000168CE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to the lands subject to the </w:t>
      </w:r>
      <w:r w:rsidRPr="00367E98">
        <w:rPr>
          <w:rFonts w:ascii="Arial" w:hAnsi="Arial" w:cs="Arial"/>
          <w:sz w:val="24"/>
          <w:szCs w:val="24"/>
          <w:u w:val="thick" w:color="FF0000"/>
        </w:rPr>
        <w:t>2014 Bonds</w:t>
      </w:r>
      <w:r>
        <w:rPr>
          <w:rFonts w:ascii="Arial" w:hAnsi="Arial" w:cs="Arial"/>
          <w:sz w:val="24"/>
          <w:szCs w:val="24"/>
        </w:rPr>
        <w:t xml:space="preserve">, utilizing the same True-Up </w:t>
      </w:r>
      <w:r w:rsidR="00A41D9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echanism but a different True-Up Threshold</w:t>
      </w:r>
      <w:r w:rsidR="005F15CB">
        <w:rPr>
          <w:rFonts w:ascii="Arial" w:hAnsi="Arial" w:cs="Arial"/>
          <w:sz w:val="24"/>
          <w:szCs w:val="24"/>
        </w:rPr>
        <w:t xml:space="preserve"> applicable to those lands, Severn Trent has determined that the Threshold is </w:t>
      </w:r>
      <w:r w:rsidR="00A41D91">
        <w:rPr>
          <w:rFonts w:ascii="Arial" w:hAnsi="Arial" w:cs="Arial"/>
          <w:sz w:val="24"/>
          <w:szCs w:val="24"/>
        </w:rPr>
        <w:t xml:space="preserve">currently </w:t>
      </w:r>
      <w:r w:rsidR="005F15CB">
        <w:rPr>
          <w:rFonts w:ascii="Arial" w:hAnsi="Arial" w:cs="Arial"/>
          <w:sz w:val="24"/>
          <w:szCs w:val="24"/>
        </w:rPr>
        <w:t xml:space="preserve">exceeded on the </w:t>
      </w:r>
      <w:proofErr w:type="spellStart"/>
      <w:r w:rsidR="005F15CB">
        <w:rPr>
          <w:rFonts w:ascii="Arial" w:hAnsi="Arial" w:cs="Arial"/>
          <w:sz w:val="24"/>
          <w:szCs w:val="24"/>
        </w:rPr>
        <w:t>unplatted</w:t>
      </w:r>
      <w:proofErr w:type="spellEnd"/>
      <w:r w:rsidR="005F15CB">
        <w:rPr>
          <w:rFonts w:ascii="Arial" w:hAnsi="Arial" w:cs="Arial"/>
          <w:sz w:val="24"/>
          <w:szCs w:val="24"/>
        </w:rPr>
        <w:t xml:space="preserve"> acres.  Severn Trent has calculated that a density reduction </w:t>
      </w:r>
      <w:r w:rsidR="005F15CB" w:rsidRPr="00367E98">
        <w:rPr>
          <w:rFonts w:ascii="Arial" w:hAnsi="Arial" w:cs="Arial"/>
          <w:sz w:val="24"/>
          <w:szCs w:val="24"/>
          <w:u w:val="thick" w:color="FF0000"/>
        </w:rPr>
        <w:t>payment</w:t>
      </w:r>
      <w:r w:rsidR="005F15CB">
        <w:rPr>
          <w:rFonts w:ascii="Arial" w:hAnsi="Arial" w:cs="Arial"/>
          <w:sz w:val="24"/>
          <w:szCs w:val="24"/>
        </w:rPr>
        <w:t xml:space="preserve"> in the amount of </w:t>
      </w:r>
      <w:r w:rsidR="005F15CB" w:rsidRPr="00367E98">
        <w:rPr>
          <w:rFonts w:ascii="Arial" w:hAnsi="Arial" w:cs="Arial"/>
          <w:b/>
          <w:sz w:val="24"/>
          <w:szCs w:val="24"/>
          <w:highlight w:val="yellow"/>
        </w:rPr>
        <w:t>$</w:t>
      </w:r>
      <w:r w:rsidR="00367E98" w:rsidRPr="009811C2">
        <w:rPr>
          <w:rFonts w:ascii="Arial" w:hAnsi="Arial" w:cs="Arial"/>
          <w:b/>
          <w:color w:val="FF0000"/>
          <w:sz w:val="24"/>
          <w:szCs w:val="24"/>
          <w:highlight w:val="yellow"/>
          <w:u w:val="single" w:color="000000" w:themeColor="text1"/>
        </w:rPr>
        <w:t>84,870.35</w:t>
      </w:r>
      <w:r w:rsidR="00E72F21">
        <w:rPr>
          <w:rFonts w:ascii="Arial" w:hAnsi="Arial" w:cs="Arial"/>
          <w:sz w:val="24"/>
          <w:szCs w:val="24"/>
        </w:rPr>
        <w:t xml:space="preserve"> is due</w:t>
      </w:r>
      <w:r w:rsidR="0014296D">
        <w:rPr>
          <w:rFonts w:ascii="Arial" w:hAnsi="Arial" w:cs="Arial"/>
          <w:sz w:val="24"/>
          <w:szCs w:val="24"/>
        </w:rPr>
        <w:t xml:space="preserve"> and payable</w:t>
      </w:r>
      <w:r w:rsidR="005F15CB">
        <w:rPr>
          <w:rFonts w:ascii="Arial" w:hAnsi="Arial" w:cs="Arial"/>
          <w:sz w:val="24"/>
          <w:szCs w:val="24"/>
        </w:rPr>
        <w:t>.</w:t>
      </w:r>
      <w:r w:rsidR="00E72F21">
        <w:rPr>
          <w:rFonts w:ascii="Arial" w:hAnsi="Arial" w:cs="Arial"/>
          <w:sz w:val="24"/>
          <w:szCs w:val="24"/>
        </w:rPr>
        <w:t xml:space="preserve">  </w:t>
      </w:r>
      <w:r w:rsidR="00E72F21" w:rsidRPr="00474B4D">
        <w:rPr>
          <w:rFonts w:ascii="Arial" w:hAnsi="Arial" w:cs="Arial"/>
          <w:sz w:val="24"/>
          <w:szCs w:val="24"/>
          <w:u w:val="thick" w:color="00B050"/>
        </w:rPr>
        <w:t xml:space="preserve">See Exhibit </w:t>
      </w:r>
      <w:r w:rsidR="00577579" w:rsidRPr="00474B4D">
        <w:rPr>
          <w:rFonts w:ascii="Arial" w:hAnsi="Arial" w:cs="Arial"/>
          <w:sz w:val="24"/>
          <w:szCs w:val="24"/>
          <w:u w:val="thick" w:color="00B050"/>
        </w:rPr>
        <w:t>A</w:t>
      </w:r>
      <w:r w:rsidR="00577579">
        <w:rPr>
          <w:rFonts w:ascii="Arial" w:hAnsi="Arial" w:cs="Arial"/>
          <w:sz w:val="24"/>
          <w:szCs w:val="24"/>
        </w:rPr>
        <w:t xml:space="preserve"> (Excel Spreadsheet </w:t>
      </w:r>
      <w:r w:rsidR="00577579" w:rsidRPr="00474B4D">
        <w:rPr>
          <w:rFonts w:ascii="Arial" w:hAnsi="Arial" w:cs="Arial"/>
          <w:sz w:val="24"/>
          <w:szCs w:val="24"/>
          <w:u w:val="thick" w:color="00B050"/>
        </w:rPr>
        <w:t>Tab 2</w:t>
      </w:r>
      <w:r w:rsidR="00577579">
        <w:rPr>
          <w:rFonts w:ascii="Arial" w:hAnsi="Arial" w:cs="Arial"/>
          <w:sz w:val="24"/>
          <w:szCs w:val="24"/>
        </w:rPr>
        <w:t>)</w:t>
      </w:r>
      <w:r w:rsidR="00E72F21">
        <w:rPr>
          <w:rFonts w:ascii="Arial" w:hAnsi="Arial" w:cs="Arial"/>
          <w:sz w:val="24"/>
          <w:szCs w:val="24"/>
        </w:rPr>
        <w:t>.  It is our understanding that the density reduction payment owed on the lands subject to the 2014 Bonds has not been disputed</w:t>
      </w:r>
      <w:r w:rsidR="00CD3DF4">
        <w:rPr>
          <w:rFonts w:ascii="Arial" w:hAnsi="Arial" w:cs="Arial"/>
          <w:sz w:val="24"/>
          <w:szCs w:val="24"/>
        </w:rPr>
        <w:t xml:space="preserve"> and </w:t>
      </w:r>
      <w:r w:rsidR="000B1E43">
        <w:rPr>
          <w:rFonts w:ascii="Arial" w:hAnsi="Arial" w:cs="Arial"/>
          <w:sz w:val="24"/>
          <w:szCs w:val="24"/>
        </w:rPr>
        <w:t xml:space="preserve">accordingly, </w:t>
      </w:r>
      <w:r w:rsidR="00CD3DF4">
        <w:rPr>
          <w:rFonts w:ascii="Arial" w:hAnsi="Arial" w:cs="Arial"/>
          <w:sz w:val="24"/>
          <w:szCs w:val="24"/>
        </w:rPr>
        <w:t xml:space="preserve">we were not </w:t>
      </w:r>
      <w:r w:rsidR="0005367C">
        <w:rPr>
          <w:rFonts w:ascii="Arial" w:hAnsi="Arial" w:cs="Arial"/>
          <w:sz w:val="24"/>
          <w:szCs w:val="24"/>
        </w:rPr>
        <w:t>ask</w:t>
      </w:r>
      <w:r w:rsidR="00CD3DF4">
        <w:rPr>
          <w:rFonts w:ascii="Arial" w:hAnsi="Arial" w:cs="Arial"/>
          <w:sz w:val="24"/>
          <w:szCs w:val="24"/>
        </w:rPr>
        <w:t xml:space="preserve">ed to provide a legal </w:t>
      </w:r>
      <w:r w:rsidR="000B1E43">
        <w:rPr>
          <w:rFonts w:ascii="Arial" w:hAnsi="Arial" w:cs="Arial"/>
          <w:sz w:val="24"/>
          <w:szCs w:val="24"/>
        </w:rPr>
        <w:t>analysis</w:t>
      </w:r>
      <w:r w:rsidR="00CD3DF4">
        <w:rPr>
          <w:rFonts w:ascii="Arial" w:hAnsi="Arial" w:cs="Arial"/>
          <w:sz w:val="24"/>
          <w:szCs w:val="24"/>
        </w:rPr>
        <w:t xml:space="preserve"> as to this payment</w:t>
      </w:r>
      <w:r w:rsidR="00E72F21">
        <w:rPr>
          <w:rFonts w:ascii="Arial" w:hAnsi="Arial" w:cs="Arial"/>
          <w:sz w:val="24"/>
          <w:szCs w:val="24"/>
        </w:rPr>
        <w:t xml:space="preserve">.  However, </w:t>
      </w:r>
      <w:r w:rsidR="00CD3DF4">
        <w:rPr>
          <w:rFonts w:ascii="Arial" w:hAnsi="Arial" w:cs="Arial"/>
          <w:sz w:val="24"/>
          <w:szCs w:val="24"/>
        </w:rPr>
        <w:t xml:space="preserve">because it has now been determined that the Threshold amount for the </w:t>
      </w:r>
      <w:proofErr w:type="spellStart"/>
      <w:r w:rsidR="00CD3DF4">
        <w:rPr>
          <w:rFonts w:ascii="Arial" w:hAnsi="Arial" w:cs="Arial"/>
          <w:sz w:val="24"/>
          <w:szCs w:val="24"/>
        </w:rPr>
        <w:t>unplatted</w:t>
      </w:r>
      <w:proofErr w:type="spellEnd"/>
      <w:r w:rsidR="00CD3DF4">
        <w:rPr>
          <w:rFonts w:ascii="Arial" w:hAnsi="Arial" w:cs="Arial"/>
          <w:sz w:val="24"/>
          <w:szCs w:val="24"/>
        </w:rPr>
        <w:t xml:space="preserve"> acres subject to the 2014 Bonds has also been exceeded, </w:t>
      </w:r>
      <w:r w:rsidR="00E72F21">
        <w:rPr>
          <w:rFonts w:ascii="Arial" w:hAnsi="Arial" w:cs="Arial"/>
          <w:sz w:val="24"/>
          <w:szCs w:val="24"/>
        </w:rPr>
        <w:t xml:space="preserve">we would recommend that the Board also make the determination that </w:t>
      </w:r>
      <w:r w:rsidR="00A41D91">
        <w:rPr>
          <w:rFonts w:ascii="Arial" w:hAnsi="Arial" w:cs="Arial"/>
          <w:sz w:val="24"/>
          <w:szCs w:val="24"/>
        </w:rPr>
        <w:t>a density reduction payment</w:t>
      </w:r>
      <w:r w:rsidR="00E72F21">
        <w:rPr>
          <w:rFonts w:ascii="Arial" w:hAnsi="Arial" w:cs="Arial"/>
          <w:sz w:val="24"/>
          <w:szCs w:val="24"/>
        </w:rPr>
        <w:t xml:space="preserve"> is owed on the lands subject to the 2014 Bonds. </w:t>
      </w:r>
    </w:p>
    <w:p w:rsidR="007F2B19" w:rsidRPr="00B24F3A" w:rsidRDefault="00665E14" w:rsidP="008856B1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b/>
          <w:sz w:val="24"/>
          <w:szCs w:val="24"/>
        </w:rPr>
        <w:t>Conclusion</w:t>
      </w:r>
    </w:p>
    <w:p w:rsidR="000B1E43" w:rsidRDefault="00272236" w:rsidP="008856B1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 </w:t>
      </w:r>
      <w:r w:rsidR="007F2B19" w:rsidRPr="00B24F3A">
        <w:rPr>
          <w:rFonts w:ascii="Arial" w:hAnsi="Arial" w:cs="Arial"/>
          <w:sz w:val="24"/>
          <w:szCs w:val="24"/>
        </w:rPr>
        <w:tab/>
        <w:t xml:space="preserve"> </w:t>
      </w:r>
      <w:r w:rsidR="000B1E43">
        <w:rPr>
          <w:rFonts w:ascii="Arial" w:hAnsi="Arial" w:cs="Arial"/>
          <w:sz w:val="24"/>
          <w:szCs w:val="24"/>
        </w:rPr>
        <w:t>Based on the pertinent legal documents, each time a plat is submitted</w:t>
      </w:r>
      <w:r w:rsidR="00704C98">
        <w:rPr>
          <w:rFonts w:ascii="Arial" w:hAnsi="Arial" w:cs="Arial"/>
          <w:sz w:val="24"/>
          <w:szCs w:val="24"/>
        </w:rPr>
        <w:t>,</w:t>
      </w:r>
      <w:r w:rsidR="000B1E43">
        <w:rPr>
          <w:rFonts w:ascii="Arial" w:hAnsi="Arial" w:cs="Arial"/>
          <w:sz w:val="24"/>
          <w:szCs w:val="24"/>
        </w:rPr>
        <w:t xml:space="preserve"> the District must determine whether the debt remaining on the </w:t>
      </w:r>
      <w:proofErr w:type="spellStart"/>
      <w:r w:rsidR="000B1E43">
        <w:rPr>
          <w:rFonts w:ascii="Arial" w:hAnsi="Arial" w:cs="Arial"/>
          <w:sz w:val="24"/>
          <w:szCs w:val="24"/>
        </w:rPr>
        <w:t>unplatted</w:t>
      </w:r>
      <w:proofErr w:type="spellEnd"/>
      <w:r w:rsidR="000B1E43">
        <w:rPr>
          <w:rFonts w:ascii="Arial" w:hAnsi="Arial" w:cs="Arial"/>
          <w:sz w:val="24"/>
          <w:szCs w:val="24"/>
        </w:rPr>
        <w:t xml:space="preserve"> acres exceeds a certain per acre debt threshold.  If the District determines that the per acre debt threshold is exceeded, the District shall require a density reduction payment from the Developer so that the </w:t>
      </w:r>
      <w:r w:rsidR="0005167A">
        <w:rPr>
          <w:rFonts w:ascii="Arial" w:hAnsi="Arial" w:cs="Arial"/>
          <w:sz w:val="24"/>
          <w:szCs w:val="24"/>
        </w:rPr>
        <w:t xml:space="preserve">per acre </w:t>
      </w:r>
      <w:bookmarkStart w:id="1" w:name="_GoBack"/>
      <w:bookmarkEnd w:id="1"/>
      <w:r w:rsidR="000B1E43">
        <w:rPr>
          <w:rFonts w:ascii="Arial" w:hAnsi="Arial" w:cs="Arial"/>
          <w:sz w:val="24"/>
          <w:szCs w:val="24"/>
        </w:rPr>
        <w:t xml:space="preserve">debt threshold is no longer exceeded on the </w:t>
      </w:r>
      <w:proofErr w:type="spellStart"/>
      <w:r w:rsidR="000B1E43">
        <w:rPr>
          <w:rFonts w:ascii="Arial" w:hAnsi="Arial" w:cs="Arial"/>
          <w:sz w:val="24"/>
          <w:szCs w:val="24"/>
        </w:rPr>
        <w:t>unplatted</w:t>
      </w:r>
      <w:proofErr w:type="spellEnd"/>
      <w:r w:rsidR="000B1E43">
        <w:rPr>
          <w:rFonts w:ascii="Arial" w:hAnsi="Arial" w:cs="Arial"/>
          <w:sz w:val="24"/>
          <w:szCs w:val="24"/>
        </w:rPr>
        <w:t xml:space="preserve"> acres.   This True-Up analysis should have been performed each time there was a plat submitted for lands in the District.  </w:t>
      </w:r>
    </w:p>
    <w:p w:rsidR="00272236" w:rsidRPr="00B24F3A" w:rsidRDefault="000B1E43" w:rsidP="000B1E43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date, the District has not made such a determination and required a density reduction payment.  However, we would recommend that because the debt per acre threshold is currently exceeded on the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>
        <w:rPr>
          <w:rFonts w:ascii="Arial" w:hAnsi="Arial" w:cs="Arial"/>
          <w:sz w:val="24"/>
          <w:szCs w:val="24"/>
        </w:rPr>
        <w:t xml:space="preserve"> acres </w:t>
      </w:r>
      <w:r w:rsidR="00577579">
        <w:rPr>
          <w:rFonts w:ascii="Arial" w:hAnsi="Arial" w:cs="Arial"/>
          <w:sz w:val="24"/>
          <w:szCs w:val="24"/>
        </w:rPr>
        <w:t>subject to</w:t>
      </w:r>
      <w:r>
        <w:rPr>
          <w:rFonts w:ascii="Arial" w:hAnsi="Arial" w:cs="Arial"/>
          <w:sz w:val="24"/>
          <w:szCs w:val="24"/>
        </w:rPr>
        <w:t xml:space="preserve"> both the 2014 and 2015 Bonds, the District should now determine that the threshold has been exceeded and that a density reduction payment is due</w:t>
      </w:r>
      <w:r w:rsidR="00AC6537">
        <w:rPr>
          <w:rFonts w:ascii="Arial" w:hAnsi="Arial" w:cs="Arial"/>
          <w:sz w:val="24"/>
          <w:szCs w:val="24"/>
        </w:rPr>
        <w:t xml:space="preserve"> and payable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272236" w:rsidRPr="00B24F3A" w:rsidSect="00295F0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296" w:right="1440" w:bottom="1296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E6" w:rsidRDefault="006B55E6" w:rsidP="00B8743E">
      <w:r>
        <w:separator/>
      </w:r>
    </w:p>
  </w:endnote>
  <w:endnote w:type="continuationSeparator" w:id="0">
    <w:p w:rsidR="006B55E6" w:rsidRDefault="006B55E6" w:rsidP="00B8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9632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CD3DF4" w:rsidRPr="00937FDB" w:rsidRDefault="001F6BF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37FDB">
          <w:rPr>
            <w:rFonts w:ascii="Arial" w:hAnsi="Arial" w:cs="Arial"/>
            <w:sz w:val="24"/>
            <w:szCs w:val="24"/>
          </w:rPr>
          <w:fldChar w:fldCharType="begin"/>
        </w:r>
        <w:r w:rsidR="00CD3DF4" w:rsidRPr="00937FD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37FDB">
          <w:rPr>
            <w:rFonts w:ascii="Arial" w:hAnsi="Arial" w:cs="Arial"/>
            <w:sz w:val="24"/>
            <w:szCs w:val="24"/>
          </w:rPr>
          <w:fldChar w:fldCharType="separate"/>
        </w:r>
        <w:r w:rsidR="00474B4D">
          <w:rPr>
            <w:rFonts w:ascii="Arial" w:hAnsi="Arial" w:cs="Arial"/>
            <w:noProof/>
            <w:sz w:val="24"/>
            <w:szCs w:val="24"/>
          </w:rPr>
          <w:t>2</w:t>
        </w:r>
        <w:r w:rsidRPr="00937FD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471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DF4" w:rsidRDefault="001F6BF5">
        <w:pPr>
          <w:pStyle w:val="Footer"/>
          <w:jc w:val="center"/>
        </w:pPr>
        <w:r>
          <w:fldChar w:fldCharType="begin"/>
        </w:r>
        <w:r w:rsidR="00CD3DF4">
          <w:instrText xml:space="preserve"> PAGE   \* MERGEFORMAT </w:instrText>
        </w:r>
        <w:r>
          <w:fldChar w:fldCharType="separate"/>
        </w:r>
        <w:r w:rsidR="00474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3DF4" w:rsidRDefault="00CD3D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E6" w:rsidRDefault="006B55E6" w:rsidP="00B8743E">
      <w:r>
        <w:separator/>
      </w:r>
    </w:p>
  </w:footnote>
  <w:footnote w:type="continuationSeparator" w:id="0">
    <w:p w:rsidR="006B55E6" w:rsidRDefault="006B55E6" w:rsidP="00B8743E">
      <w:r>
        <w:continuationSeparator/>
      </w:r>
    </w:p>
  </w:footnote>
  <w:footnote w:id="1">
    <w:p w:rsidR="00CD3DF4" w:rsidRPr="00950022" w:rsidRDefault="00CD3DF4" w:rsidP="00950022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C7521F">
        <w:rPr>
          <w:rStyle w:val="FootnoteReference"/>
          <w:rFonts w:ascii="Arial" w:hAnsi="Arial" w:cs="Arial"/>
          <w:sz w:val="22"/>
          <w:szCs w:val="22"/>
          <w:highlight w:val="magenta"/>
        </w:rPr>
        <w:footnoteRef/>
      </w:r>
      <w:r w:rsidRPr="009500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950022">
        <w:rPr>
          <w:rFonts w:ascii="Arial" w:hAnsi="Arial" w:cs="Arial"/>
          <w:sz w:val="22"/>
          <w:szCs w:val="22"/>
        </w:rPr>
        <w:t xml:space="preserve">We do not know the exact payment that would have been due in 2007.  We have been advised by Severn Trent that going back to 2007 to determine this number would </w:t>
      </w:r>
      <w:r>
        <w:rPr>
          <w:rFonts w:ascii="Arial" w:hAnsi="Arial" w:cs="Arial"/>
          <w:sz w:val="22"/>
          <w:szCs w:val="22"/>
        </w:rPr>
        <w:t>require a full forensic analysis</w:t>
      </w:r>
      <w:r w:rsidRPr="00950022">
        <w:rPr>
          <w:rFonts w:ascii="Arial" w:hAnsi="Arial" w:cs="Arial"/>
          <w:sz w:val="22"/>
          <w:szCs w:val="22"/>
        </w:rPr>
        <w:t xml:space="preserve"> </w:t>
      </w:r>
      <w:r w:rsidR="00541042">
        <w:rPr>
          <w:rFonts w:ascii="Arial" w:hAnsi="Arial" w:cs="Arial"/>
          <w:sz w:val="22"/>
          <w:szCs w:val="22"/>
        </w:rPr>
        <w:t xml:space="preserve">which could not occur prior </w:t>
      </w:r>
      <w:r w:rsidRPr="00950022">
        <w:rPr>
          <w:rFonts w:ascii="Arial" w:hAnsi="Arial" w:cs="Arial"/>
          <w:sz w:val="22"/>
          <w:szCs w:val="22"/>
        </w:rPr>
        <w:t>to the September 14, 2017 meeting</w:t>
      </w:r>
      <w:r w:rsidR="00541042">
        <w:rPr>
          <w:rFonts w:ascii="Arial" w:hAnsi="Arial" w:cs="Arial"/>
          <w:sz w:val="22"/>
          <w:szCs w:val="22"/>
        </w:rPr>
        <w:t xml:space="preserve"> or before the</w:t>
      </w:r>
      <w:r w:rsidR="006B7BB6">
        <w:rPr>
          <w:rFonts w:ascii="Arial" w:hAnsi="Arial" w:cs="Arial"/>
          <w:sz w:val="22"/>
          <w:szCs w:val="22"/>
        </w:rPr>
        <w:t xml:space="preserve"> Developer’s scheduled closing</w:t>
      </w:r>
      <w:r w:rsidRPr="009500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410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However, it is our belief that the payment that would have been due in 2007 would have been higher than what is due today</w:t>
      </w:r>
      <w:r w:rsidR="00053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even if the number of “</w:t>
      </w:r>
      <w:proofErr w:type="spellStart"/>
      <w:r>
        <w:rPr>
          <w:rFonts w:ascii="Arial" w:hAnsi="Arial" w:cs="Arial"/>
          <w:sz w:val="22"/>
          <w:szCs w:val="22"/>
        </w:rPr>
        <w:t>unplatted</w:t>
      </w:r>
      <w:proofErr w:type="spellEnd"/>
      <w:r>
        <w:rPr>
          <w:rFonts w:ascii="Arial" w:hAnsi="Arial" w:cs="Arial"/>
          <w:sz w:val="22"/>
          <w:szCs w:val="22"/>
        </w:rPr>
        <w:t>” acres is the same.  This is because since 2007</w:t>
      </w:r>
      <w:r w:rsidR="0005367C">
        <w:rPr>
          <w:rFonts w:ascii="Arial" w:hAnsi="Arial" w:cs="Arial"/>
          <w:sz w:val="22"/>
          <w:szCs w:val="22"/>
        </w:rPr>
        <w:t>,</w:t>
      </w:r>
      <w:r w:rsidR="0075655D">
        <w:rPr>
          <w:rFonts w:ascii="Arial" w:hAnsi="Arial" w:cs="Arial"/>
          <w:sz w:val="22"/>
          <w:szCs w:val="22"/>
        </w:rPr>
        <w:t xml:space="preserve"> there has</w:t>
      </w:r>
      <w:r>
        <w:rPr>
          <w:rFonts w:ascii="Arial" w:hAnsi="Arial" w:cs="Arial"/>
          <w:sz w:val="22"/>
          <w:szCs w:val="22"/>
        </w:rPr>
        <w:t xml:space="preserve"> been ten years’ worth of debt servicing paying down the principal amount of the debt. </w:t>
      </w:r>
    </w:p>
  </w:footnote>
  <w:footnote w:id="2">
    <w:p w:rsidR="00AC6537" w:rsidRPr="008856B1" w:rsidRDefault="00AC6537" w:rsidP="008856B1">
      <w:pPr>
        <w:contextualSpacing/>
        <w:jc w:val="both"/>
        <w:rPr>
          <w:rFonts w:ascii="Arial" w:hAnsi="Arial" w:cs="Arial"/>
        </w:rPr>
      </w:pPr>
      <w:r w:rsidRPr="00367E98">
        <w:rPr>
          <w:rStyle w:val="FootnoteReference"/>
          <w:rFonts w:ascii="Arial" w:hAnsi="Arial" w:cs="Arial"/>
          <w:highlight w:val="magenta"/>
        </w:rPr>
        <w:footnoteRef/>
      </w:r>
      <w:r w:rsidRPr="008856B1">
        <w:rPr>
          <w:rFonts w:ascii="Arial" w:hAnsi="Arial" w:cs="Arial"/>
        </w:rPr>
        <w:t xml:space="preserve"> </w:t>
      </w:r>
      <w:r w:rsidR="007266EA" w:rsidRPr="008856B1">
        <w:rPr>
          <w:rFonts w:ascii="Arial" w:hAnsi="Arial" w:cs="Arial"/>
        </w:rPr>
        <w:t xml:space="preserve"> </w:t>
      </w:r>
      <w:r w:rsidRPr="008856B1">
        <w:rPr>
          <w:rFonts w:ascii="Arial" w:hAnsi="Arial" w:cs="Arial"/>
        </w:rPr>
        <w:t>At the last meeting, the Board will recall that there was discussion that the amount due exceeded $2,000,000.00.  There was some initial confusion between Severn Trent and the Developer as to what constituted “platted” or “</w:t>
      </w:r>
      <w:proofErr w:type="spellStart"/>
      <w:r w:rsidRPr="008856B1">
        <w:rPr>
          <w:rFonts w:ascii="Arial" w:hAnsi="Arial" w:cs="Arial"/>
        </w:rPr>
        <w:t>unplatted</w:t>
      </w:r>
      <w:proofErr w:type="spellEnd"/>
      <w:r w:rsidRPr="008856B1">
        <w:rPr>
          <w:rFonts w:ascii="Arial" w:hAnsi="Arial" w:cs="Arial"/>
        </w:rPr>
        <w:t>” lands for the purposes of this analysis.  The $2 million figure was derived by including some parcels that have in fact been platted (</w:t>
      </w:r>
      <w:r w:rsidRPr="008856B1">
        <w:rPr>
          <w:rFonts w:ascii="Arial" w:hAnsi="Arial" w:cs="Arial"/>
          <w:i/>
        </w:rPr>
        <w:t xml:space="preserve">i.e., </w:t>
      </w:r>
      <w:r w:rsidRPr="008856B1">
        <w:rPr>
          <w:rFonts w:ascii="Arial" w:hAnsi="Arial" w:cs="Arial"/>
        </w:rPr>
        <w:t>J, K, &amp; L neighborhoods) into the equation as “</w:t>
      </w:r>
      <w:proofErr w:type="spellStart"/>
      <w:r w:rsidRPr="008856B1">
        <w:rPr>
          <w:rFonts w:ascii="Arial" w:hAnsi="Arial" w:cs="Arial"/>
        </w:rPr>
        <w:t>unplatted</w:t>
      </w:r>
      <w:proofErr w:type="spellEnd"/>
      <w:r w:rsidRPr="008856B1">
        <w:rPr>
          <w:rFonts w:ascii="Arial" w:hAnsi="Arial" w:cs="Arial"/>
        </w:rPr>
        <w:t>” properties.  However, according to the plain languge of the pertinent documents, these neighborhoods should not be included in the category of “</w:t>
      </w:r>
      <w:proofErr w:type="spellStart"/>
      <w:r w:rsidRPr="008856B1">
        <w:rPr>
          <w:rFonts w:ascii="Arial" w:hAnsi="Arial" w:cs="Arial"/>
        </w:rPr>
        <w:t>unplatted</w:t>
      </w:r>
      <w:proofErr w:type="spellEnd"/>
      <w:r w:rsidRPr="008856B1">
        <w:rPr>
          <w:rFonts w:ascii="Arial" w:hAnsi="Arial" w:cs="Arial"/>
        </w:rPr>
        <w:t>” lands for the purposes of the True-Up analysis because plats for those lands have been submitted to and approved by Osceola County and now—at the latest—submitted to the District by the Developer.</w:t>
      </w:r>
    </w:p>
    <w:p w:rsidR="00AC6537" w:rsidRDefault="00AC653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F4" w:rsidRDefault="001F6B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966171" o:spid="_x0000_s2050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F4" w:rsidRDefault="001F6B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966172" o:spid="_x0000_s2051" type="#_x0000_t136" style="position:absolute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F4" w:rsidRDefault="001F6BF5" w:rsidP="00E650B0">
    <w:pPr>
      <w:jc w:val="center"/>
      <w:rPr>
        <w:rFonts w:ascii="Iskoola Pota" w:eastAsia="Times New Roman" w:hAnsi="Iskoola Pota" w:cs="Iskoola Pota"/>
        <w:color w:val="B6991C"/>
        <w:sz w:val="42"/>
        <w:szCs w:val="42"/>
      </w:rPr>
    </w:pPr>
    <w:r w:rsidRPr="001F6BF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966170" o:spid="_x0000_s2049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Pr="0094118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Pr="00FF290A" w:rsidRDefault="00CD3DF4" w:rsidP="00E650B0">
    <w:pPr>
      <w:jc w:val="center"/>
      <w:rPr>
        <w:rFonts w:ascii="Iskoola Pota" w:eastAsia="Times New Roman" w:hAnsi="Iskoola Pota" w:cs="Iskoola Pota"/>
        <w:color w:val="665610"/>
        <w:sz w:val="26"/>
        <w:szCs w:val="26"/>
      </w:rPr>
    </w:pPr>
    <w:r w:rsidRPr="00FF290A">
      <w:rPr>
        <w:rFonts w:ascii="Iskoola Pota" w:eastAsia="Times New Roman" w:hAnsi="Iskoola Pota" w:cs="Iskoola Pota"/>
        <w:color w:val="665610"/>
        <w:sz w:val="46"/>
        <w:szCs w:val="46"/>
      </w:rPr>
      <w:t>Y</w:t>
    </w:r>
    <w:r w:rsidRPr="00FF290A">
      <w:rPr>
        <w:rFonts w:ascii="Iskoola Pota" w:eastAsia="Times New Roman" w:hAnsi="Iskoola Pota" w:cs="Iskoola Pota"/>
        <w:color w:val="665610"/>
        <w:sz w:val="28"/>
        <w:szCs w:val="28"/>
      </w:rPr>
      <w:t>OUNG</w:t>
    </w:r>
    <w:r w:rsidRPr="00FF290A">
      <w:rPr>
        <w:rFonts w:ascii="Iskoola Pota" w:eastAsia="Times New Roman" w:hAnsi="Iskoola Pota" w:cs="Iskoola Pota"/>
        <w:color w:val="665610"/>
        <w:sz w:val="24"/>
        <w:szCs w:val="24"/>
      </w:rPr>
      <w:t xml:space="preserve"> </w:t>
    </w:r>
    <w:r w:rsidRPr="00FF290A">
      <w:rPr>
        <w:rFonts w:ascii="Iskoola Pota" w:eastAsia="Times New Roman" w:hAnsi="Iskoola Pota" w:cs="Iskoola Pota"/>
        <w:color w:val="665610"/>
        <w:sz w:val="46"/>
        <w:szCs w:val="46"/>
      </w:rPr>
      <w:t>Q</w:t>
    </w:r>
    <w:r w:rsidRPr="00FF290A">
      <w:rPr>
        <w:rFonts w:ascii="Iskoola Pota" w:eastAsia="Times New Roman" w:hAnsi="Iskoola Pota" w:cs="Iskoola Pota"/>
        <w:color w:val="665610"/>
        <w:sz w:val="28"/>
        <w:szCs w:val="28"/>
      </w:rPr>
      <w:t>UALLS, P.A.</w:t>
    </w:r>
  </w:p>
  <w:p w:rsidR="00CD3DF4" w:rsidRPr="00FF290A" w:rsidRDefault="00CD3DF4" w:rsidP="00B8743E">
    <w:pPr>
      <w:jc w:val="center"/>
      <w:rPr>
        <w:rFonts w:ascii="Iskoola Pota" w:eastAsia="Times New Roman" w:hAnsi="Iskoola Pota" w:cs="Iskoola Pota"/>
        <w:color w:val="665610"/>
      </w:rPr>
    </w:pPr>
    <w:r w:rsidRPr="00FF290A">
      <w:rPr>
        <w:rFonts w:ascii="Iskoola Pota" w:eastAsia="Times New Roman" w:hAnsi="Iskoola Pota" w:cs="Iskoola Pota"/>
        <w:color w:val="665610"/>
      </w:rPr>
      <w:t>ATTORNEYS AND COUNSELORS AT LAW</w:t>
    </w:r>
  </w:p>
  <w:p w:rsidR="00CD3DF4" w:rsidRPr="00FF290A" w:rsidRDefault="00CD3DF4" w:rsidP="006B100D">
    <w:pPr>
      <w:tabs>
        <w:tab w:val="center" w:pos="4680"/>
        <w:tab w:val="left" w:pos="5730"/>
      </w:tabs>
      <w:rPr>
        <w:rFonts w:ascii="Century Gothic" w:hAnsi="Century Gothic" w:cs="Shruti"/>
        <w:color w:val="665610"/>
        <w:sz w:val="16"/>
        <w:szCs w:val="16"/>
      </w:rPr>
    </w:pPr>
    <w:r w:rsidRPr="00FF290A">
      <w:rPr>
        <w:rFonts w:ascii="Century Gothic" w:hAnsi="Century Gothic" w:cs="Shruti"/>
        <w:color w:val="665610"/>
        <w:sz w:val="16"/>
        <w:szCs w:val="16"/>
      </w:rPr>
      <w:tab/>
    </w:r>
    <w:r w:rsidR="001F6BF5" w:rsidRPr="001F6BF5">
      <w:rPr>
        <w:rFonts w:ascii="Century Gothic" w:eastAsia="Times New Roman" w:hAnsi="Century Gothic"/>
        <w:noProof/>
        <w:color w:val="665610"/>
        <w:sz w:val="28"/>
        <w:szCs w:val="28"/>
      </w:rPr>
      <w:pict>
        <v:line id="Straight Connector 1" o:spid="_x0000_s2052" style="position:absolute;z-index:251660288;visibility:visible;mso-wrap-distance-top:-6e-5mm;mso-wrap-distance-bottom:-6e-5mm;mso-position-horizontal-relative:text;mso-position-vertical-relative:text;mso-width-relative:margin;mso-height-relative:margin" from="186.8pt,5.1pt" to="278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" strokecolor="#b6991c">
          <o:lock v:ext="edit" shapetype="f"/>
        </v:line>
      </w:pict>
    </w:r>
    <w:r w:rsidRPr="00FF290A">
      <w:rPr>
        <w:rFonts w:ascii="Century Gothic" w:hAnsi="Century Gothic" w:cs="Shruti"/>
        <w:color w:val="665610"/>
        <w:sz w:val="16"/>
        <w:szCs w:val="16"/>
      </w:rPr>
      <w:tab/>
    </w:r>
  </w:p>
  <w:p w:rsidR="00CD3DF4" w:rsidRPr="00FF290A" w:rsidRDefault="00CD3DF4" w:rsidP="001A7C26">
    <w:pPr>
      <w:spacing w:line="276" w:lineRule="auto"/>
      <w:jc w:val="center"/>
      <w:rPr>
        <w:rFonts w:ascii="Iskoola Pota" w:hAnsi="Iskoola Pota" w:cs="Iskoola Pota"/>
        <w:color w:val="665610"/>
        <w:sz w:val="18"/>
        <w:szCs w:val="18"/>
      </w:rPr>
    </w:pPr>
    <w:r w:rsidRPr="00FF290A">
      <w:rPr>
        <w:rFonts w:ascii="Iskoola Pota" w:hAnsi="Iskoola Pota" w:cs="Iskoola Pota"/>
        <w:color w:val="665610"/>
        <w:sz w:val="18"/>
        <w:szCs w:val="18"/>
      </w:rPr>
      <w:t>216 South Monroe Street</w:t>
    </w:r>
  </w:p>
  <w:p w:rsidR="00CD3DF4" w:rsidRPr="00FF290A" w:rsidRDefault="00CD3DF4" w:rsidP="001A7C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  <w:jc w:val="center"/>
      <w:rPr>
        <w:rFonts w:ascii="Iskoola Pota" w:hAnsi="Iskoola Pota" w:cs="Iskoola Pota"/>
        <w:color w:val="665610"/>
        <w:sz w:val="18"/>
        <w:szCs w:val="18"/>
      </w:rPr>
    </w:pPr>
    <w:r w:rsidRPr="00FF290A">
      <w:rPr>
        <w:rFonts w:ascii="Iskoola Pota" w:hAnsi="Iskoola Pota" w:cs="Iskoola Pota"/>
        <w:color w:val="665610"/>
        <w:sz w:val="18"/>
        <w:szCs w:val="18"/>
      </w:rPr>
      <w:t>Tallahassee, Florida 32301</w:t>
    </w:r>
  </w:p>
  <w:p w:rsidR="00CD3DF4" w:rsidRPr="00FF290A" w:rsidRDefault="00CD3DF4" w:rsidP="001A7C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  <w:rPr>
        <w:rFonts w:ascii="Iskoola Pota" w:hAnsi="Iskoola Pota" w:cs="Iskoola Pota"/>
        <w:color w:val="665610"/>
        <w:sz w:val="18"/>
        <w:szCs w:val="18"/>
      </w:rPr>
    </w:pPr>
    <w:r w:rsidRPr="00FF290A">
      <w:rPr>
        <w:rFonts w:ascii="Iskoola Pota" w:hAnsi="Iskoola Pota" w:cs="Iskoola Pota"/>
        <w:color w:val="665610"/>
        <w:sz w:val="18"/>
        <w:szCs w:val="18"/>
      </w:rPr>
      <w:t>Reply To: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CD3DF4" w:rsidRPr="00FF290A" w:rsidTr="001A7C26">
      <w:tc>
        <w:tcPr>
          <w:tcW w:w="4788" w:type="dxa"/>
        </w:tcPr>
        <w:p w:rsidR="00CD3DF4" w:rsidRPr="00FF290A" w:rsidRDefault="00CD3DF4" w:rsidP="001A7C26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spacing w:line="276" w:lineRule="auto"/>
            <w:rPr>
              <w:rFonts w:ascii="Iskoola Pota" w:hAnsi="Iskoola Pota" w:cs="Iskoola Pota"/>
              <w:color w:val="665610"/>
              <w:sz w:val="18"/>
              <w:szCs w:val="18"/>
            </w:rPr>
          </w:pP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Post Office Box 1833</w:t>
          </w:r>
        </w:p>
        <w:p w:rsidR="00CD3DF4" w:rsidRPr="00FF290A" w:rsidRDefault="00CD3DF4" w:rsidP="001A7C26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spacing w:line="276" w:lineRule="auto"/>
            <w:rPr>
              <w:rFonts w:ascii="Iskoola Pota" w:hAnsi="Iskoola Pota" w:cs="Iskoola Pota"/>
              <w:color w:val="665610"/>
              <w:sz w:val="18"/>
              <w:szCs w:val="18"/>
            </w:rPr>
          </w:pPr>
          <w:r>
            <w:rPr>
              <w:rFonts w:ascii="Iskoola Pota" w:hAnsi="Iskoola Pota" w:cs="Iskoola Pota"/>
              <w:color w:val="665610"/>
              <w:sz w:val="18"/>
              <w:szCs w:val="18"/>
            </w:rPr>
            <w:t>T</w:t>
          </w: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allahassee, FL 32302-1833</w:t>
          </w:r>
        </w:p>
      </w:tc>
      <w:tc>
        <w:tcPr>
          <w:tcW w:w="4788" w:type="dxa"/>
        </w:tcPr>
        <w:p w:rsidR="00CD3DF4" w:rsidRPr="00FF290A" w:rsidRDefault="00CD3DF4" w:rsidP="001A7C26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spacing w:line="276" w:lineRule="auto"/>
            <w:jc w:val="right"/>
            <w:rPr>
              <w:rFonts w:ascii="Iskoola Pota" w:hAnsi="Iskoola Pota" w:cs="Iskoola Pota"/>
              <w:color w:val="665610"/>
              <w:sz w:val="18"/>
              <w:szCs w:val="18"/>
            </w:rPr>
          </w:pP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Telephone:  (850) 222-7206</w:t>
          </w:r>
        </w:p>
        <w:p w:rsidR="00CD3DF4" w:rsidRPr="00FF290A" w:rsidRDefault="00CD3DF4" w:rsidP="001A7C26">
          <w:pPr>
            <w:pStyle w:val="Header"/>
            <w:spacing w:line="276" w:lineRule="auto"/>
            <w:jc w:val="right"/>
            <w:rPr>
              <w:rFonts w:ascii="Iskoola Pota" w:hAnsi="Iskoola Pota" w:cs="Iskoola Pota"/>
              <w:color w:val="665610"/>
              <w:sz w:val="18"/>
              <w:szCs w:val="18"/>
            </w:rPr>
          </w:pP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Facsimile:</w:t>
          </w:r>
          <w:r>
            <w:rPr>
              <w:rFonts w:ascii="Iskoola Pota" w:hAnsi="Iskoola Pota" w:cs="Iskoola Pota"/>
              <w:color w:val="665610"/>
              <w:sz w:val="18"/>
              <w:szCs w:val="18"/>
            </w:rPr>
            <w:t xml:space="preserve"> </w:t>
          </w: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 xml:space="preserve">  (850) 765-4451</w:t>
          </w:r>
        </w:p>
      </w:tc>
    </w:tr>
  </w:tbl>
  <w:p w:rsidR="00CD3DF4" w:rsidRPr="00003E06" w:rsidRDefault="00CD3DF4" w:rsidP="00295F04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Century Gothic" w:hAnsi="Century Gothic" w:cs="Shruti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A1B"/>
    <w:multiLevelType w:val="hybridMultilevel"/>
    <w:tmpl w:val="31305A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273D1"/>
    <w:multiLevelType w:val="hybridMultilevel"/>
    <w:tmpl w:val="FC82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31E9"/>
    <w:multiLevelType w:val="hybridMultilevel"/>
    <w:tmpl w:val="880EF920"/>
    <w:lvl w:ilvl="0" w:tplc="7584C8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768A2"/>
    <w:multiLevelType w:val="hybridMultilevel"/>
    <w:tmpl w:val="301A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25E3"/>
    <w:multiLevelType w:val="hybridMultilevel"/>
    <w:tmpl w:val="71D46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2C6C64"/>
    <w:multiLevelType w:val="multilevel"/>
    <w:tmpl w:val="0AD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83960"/>
    <w:multiLevelType w:val="hybridMultilevel"/>
    <w:tmpl w:val="9428357C"/>
    <w:lvl w:ilvl="0" w:tplc="605E59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D97449"/>
    <w:multiLevelType w:val="hybridMultilevel"/>
    <w:tmpl w:val="CDEA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F77A8"/>
    <w:multiLevelType w:val="hybridMultilevel"/>
    <w:tmpl w:val="618CB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57289"/>
    <w:multiLevelType w:val="hybridMultilevel"/>
    <w:tmpl w:val="A6A2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51EA4"/>
    <w:multiLevelType w:val="hybridMultilevel"/>
    <w:tmpl w:val="BBB0023E"/>
    <w:lvl w:ilvl="0" w:tplc="D6BEB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995478"/>
    <w:multiLevelType w:val="hybridMultilevel"/>
    <w:tmpl w:val="F6826EF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43E"/>
    <w:rsid w:val="000168CE"/>
    <w:rsid w:val="00034A69"/>
    <w:rsid w:val="00042F4B"/>
    <w:rsid w:val="0005167A"/>
    <w:rsid w:val="0005367C"/>
    <w:rsid w:val="000A050B"/>
    <w:rsid w:val="000A0824"/>
    <w:rsid w:val="000B1E43"/>
    <w:rsid w:val="000C171C"/>
    <w:rsid w:val="00100DEC"/>
    <w:rsid w:val="00111973"/>
    <w:rsid w:val="00125284"/>
    <w:rsid w:val="00127C8A"/>
    <w:rsid w:val="00133FC0"/>
    <w:rsid w:val="0014296D"/>
    <w:rsid w:val="001A5284"/>
    <w:rsid w:val="001A7C26"/>
    <w:rsid w:val="001C1252"/>
    <w:rsid w:val="001F6BF5"/>
    <w:rsid w:val="00225245"/>
    <w:rsid w:val="0024169C"/>
    <w:rsid w:val="00241E60"/>
    <w:rsid w:val="00272236"/>
    <w:rsid w:val="00295F04"/>
    <w:rsid w:val="002964D4"/>
    <w:rsid w:val="002B23E9"/>
    <w:rsid w:val="002D421B"/>
    <w:rsid w:val="002E1A52"/>
    <w:rsid w:val="00303CB5"/>
    <w:rsid w:val="0031006D"/>
    <w:rsid w:val="00367E98"/>
    <w:rsid w:val="003953D8"/>
    <w:rsid w:val="003C0663"/>
    <w:rsid w:val="003C56B1"/>
    <w:rsid w:val="003E331A"/>
    <w:rsid w:val="00420283"/>
    <w:rsid w:val="00433D14"/>
    <w:rsid w:val="00474B4D"/>
    <w:rsid w:val="00512B3E"/>
    <w:rsid w:val="0052747A"/>
    <w:rsid w:val="00541042"/>
    <w:rsid w:val="00541B5D"/>
    <w:rsid w:val="00555FCD"/>
    <w:rsid w:val="00577579"/>
    <w:rsid w:val="005827CD"/>
    <w:rsid w:val="00583223"/>
    <w:rsid w:val="005C39A9"/>
    <w:rsid w:val="005E3631"/>
    <w:rsid w:val="005E4D27"/>
    <w:rsid w:val="005F15CB"/>
    <w:rsid w:val="00641B24"/>
    <w:rsid w:val="00665E14"/>
    <w:rsid w:val="006B100D"/>
    <w:rsid w:val="006B24D2"/>
    <w:rsid w:val="006B55E6"/>
    <w:rsid w:val="006B6068"/>
    <w:rsid w:val="006B7BB6"/>
    <w:rsid w:val="006C062D"/>
    <w:rsid w:val="006F4140"/>
    <w:rsid w:val="00704C98"/>
    <w:rsid w:val="00720C48"/>
    <w:rsid w:val="007266EA"/>
    <w:rsid w:val="00737CD5"/>
    <w:rsid w:val="0075655D"/>
    <w:rsid w:val="00782202"/>
    <w:rsid w:val="00784879"/>
    <w:rsid w:val="00795161"/>
    <w:rsid w:val="007D4E3E"/>
    <w:rsid w:val="007D52EE"/>
    <w:rsid w:val="007F2B19"/>
    <w:rsid w:val="008478C3"/>
    <w:rsid w:val="008506E0"/>
    <w:rsid w:val="00860410"/>
    <w:rsid w:val="00875B31"/>
    <w:rsid w:val="008856B1"/>
    <w:rsid w:val="008B0481"/>
    <w:rsid w:val="008C4EA4"/>
    <w:rsid w:val="008C70DA"/>
    <w:rsid w:val="008E49F0"/>
    <w:rsid w:val="008F6E91"/>
    <w:rsid w:val="00906344"/>
    <w:rsid w:val="00912007"/>
    <w:rsid w:val="00927FBA"/>
    <w:rsid w:val="00937FDB"/>
    <w:rsid w:val="00941184"/>
    <w:rsid w:val="00950022"/>
    <w:rsid w:val="009811C2"/>
    <w:rsid w:val="009811EB"/>
    <w:rsid w:val="009836E2"/>
    <w:rsid w:val="009A204F"/>
    <w:rsid w:val="009B4DBC"/>
    <w:rsid w:val="009C0090"/>
    <w:rsid w:val="009E23DC"/>
    <w:rsid w:val="009F71EB"/>
    <w:rsid w:val="00A41D91"/>
    <w:rsid w:val="00A67830"/>
    <w:rsid w:val="00A87878"/>
    <w:rsid w:val="00AA5E55"/>
    <w:rsid w:val="00AB4351"/>
    <w:rsid w:val="00AB4628"/>
    <w:rsid w:val="00AB51A1"/>
    <w:rsid w:val="00AC3F1F"/>
    <w:rsid w:val="00AC6537"/>
    <w:rsid w:val="00AC71FC"/>
    <w:rsid w:val="00AD6220"/>
    <w:rsid w:val="00AE18A2"/>
    <w:rsid w:val="00AF5615"/>
    <w:rsid w:val="00B24F3A"/>
    <w:rsid w:val="00B30274"/>
    <w:rsid w:val="00B43047"/>
    <w:rsid w:val="00B84FE8"/>
    <w:rsid w:val="00B8743E"/>
    <w:rsid w:val="00B90914"/>
    <w:rsid w:val="00B91E25"/>
    <w:rsid w:val="00BA36E0"/>
    <w:rsid w:val="00BC5A91"/>
    <w:rsid w:val="00BE3A6D"/>
    <w:rsid w:val="00BF01B2"/>
    <w:rsid w:val="00BF01BB"/>
    <w:rsid w:val="00C0614A"/>
    <w:rsid w:val="00C12ABA"/>
    <w:rsid w:val="00C7521F"/>
    <w:rsid w:val="00CC3E43"/>
    <w:rsid w:val="00CC5BAC"/>
    <w:rsid w:val="00CD2C2B"/>
    <w:rsid w:val="00CD3DF4"/>
    <w:rsid w:val="00D01AC2"/>
    <w:rsid w:val="00D27069"/>
    <w:rsid w:val="00E05C7A"/>
    <w:rsid w:val="00E14E21"/>
    <w:rsid w:val="00E30216"/>
    <w:rsid w:val="00E45296"/>
    <w:rsid w:val="00E650B0"/>
    <w:rsid w:val="00E72F21"/>
    <w:rsid w:val="00E8770D"/>
    <w:rsid w:val="00EA5FEB"/>
    <w:rsid w:val="00EB4F7B"/>
    <w:rsid w:val="00EE0ED5"/>
    <w:rsid w:val="00EF16C5"/>
    <w:rsid w:val="00F11A7C"/>
    <w:rsid w:val="00F62195"/>
    <w:rsid w:val="00F67A59"/>
    <w:rsid w:val="00F80C4A"/>
    <w:rsid w:val="00F96D48"/>
    <w:rsid w:val="00FA2954"/>
    <w:rsid w:val="00FB5E40"/>
    <w:rsid w:val="00FF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69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D270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43E"/>
  </w:style>
  <w:style w:type="paragraph" w:styleId="Footer">
    <w:name w:val="footer"/>
    <w:basedOn w:val="Normal"/>
    <w:link w:val="FooterChar"/>
    <w:uiPriority w:val="99"/>
    <w:unhideWhenUsed/>
    <w:rsid w:val="00B87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3E"/>
  </w:style>
  <w:style w:type="paragraph" w:styleId="BalloonText">
    <w:name w:val="Balloon Text"/>
    <w:basedOn w:val="Normal"/>
    <w:link w:val="BalloonTextChar"/>
    <w:uiPriority w:val="99"/>
    <w:semiHidden/>
    <w:unhideWhenUsed/>
    <w:rsid w:val="00B87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6E0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B30274"/>
    <w:pPr>
      <w:widowControl w:val="0"/>
      <w:ind w:left="12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0274"/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0090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9C0090"/>
  </w:style>
  <w:style w:type="character" w:customStyle="1" w:styleId="number">
    <w:name w:val="number"/>
    <w:basedOn w:val="DefaultParagraphFont"/>
    <w:rsid w:val="00860410"/>
  </w:style>
  <w:style w:type="character" w:styleId="CommentReference">
    <w:name w:val="annotation reference"/>
    <w:basedOn w:val="DefaultParagraphFont"/>
    <w:uiPriority w:val="99"/>
    <w:semiHidden/>
    <w:unhideWhenUsed/>
    <w:rsid w:val="008604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10"/>
    <w:pPr>
      <w:spacing w:after="200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10"/>
    <w:rPr>
      <w:sz w:val="24"/>
      <w:szCs w:val="24"/>
    </w:rPr>
  </w:style>
  <w:style w:type="character" w:styleId="FootnoteReference">
    <w:name w:val="footnote reference"/>
    <w:uiPriority w:val="99"/>
    <w:semiHidden/>
    <w:rsid w:val="00E30216"/>
  </w:style>
  <w:style w:type="paragraph" w:styleId="FootnoteText">
    <w:name w:val="footnote text"/>
    <w:basedOn w:val="Normal"/>
    <w:link w:val="FootnoteTextChar"/>
    <w:uiPriority w:val="99"/>
    <w:rsid w:val="00E3021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216"/>
    <w:rPr>
      <w:rFonts w:ascii="Times New Roman" w:eastAsia="Times New Roman" w:hAnsi="Times New Roman" w:cs="Times New Roman"/>
      <w:sz w:val="20"/>
      <w:szCs w:val="20"/>
    </w:rPr>
  </w:style>
  <w:style w:type="character" w:customStyle="1" w:styleId="ssit">
    <w:name w:val="ss_it"/>
    <w:rsid w:val="00E30216"/>
  </w:style>
  <w:style w:type="character" w:customStyle="1" w:styleId="text">
    <w:name w:val="text"/>
    <w:basedOn w:val="DefaultParagraphFont"/>
    <w:rsid w:val="00EF16C5"/>
  </w:style>
  <w:style w:type="character" w:customStyle="1" w:styleId="sectionnumber">
    <w:name w:val="sectionnumber"/>
    <w:basedOn w:val="DefaultParagraphFont"/>
    <w:rsid w:val="009A204F"/>
  </w:style>
  <w:style w:type="character" w:customStyle="1" w:styleId="catchlinetext">
    <w:name w:val="catchlinetext"/>
    <w:basedOn w:val="DefaultParagraphFont"/>
    <w:rsid w:val="009A204F"/>
  </w:style>
  <w:style w:type="character" w:customStyle="1" w:styleId="emdash">
    <w:name w:val="emdash"/>
    <w:basedOn w:val="DefaultParagraphFont"/>
    <w:rsid w:val="009A204F"/>
  </w:style>
  <w:style w:type="character" w:customStyle="1" w:styleId="sectionbody">
    <w:name w:val="sectionbody"/>
    <w:basedOn w:val="DefaultParagraphFont"/>
    <w:rsid w:val="009A204F"/>
  </w:style>
  <w:style w:type="character" w:customStyle="1" w:styleId="historytitle">
    <w:name w:val="historytitle"/>
    <w:basedOn w:val="DefaultParagraphFont"/>
    <w:rsid w:val="009A204F"/>
  </w:style>
  <w:style w:type="character" w:customStyle="1" w:styleId="historytext">
    <w:name w:val="historytext"/>
    <w:basedOn w:val="DefaultParagraphFont"/>
    <w:rsid w:val="009A204F"/>
  </w:style>
  <w:style w:type="paragraph" w:customStyle="1" w:styleId="reversion">
    <w:name w:val="reversion"/>
    <w:basedOn w:val="Normal"/>
    <w:rsid w:val="009A20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ction">
    <w:name w:val="fraction"/>
    <w:basedOn w:val="DefaultParagraphFont"/>
    <w:rsid w:val="009A204F"/>
  </w:style>
  <w:style w:type="character" w:customStyle="1" w:styleId="numerator">
    <w:name w:val="numerator"/>
    <w:basedOn w:val="DefaultParagraphFont"/>
    <w:rsid w:val="009A204F"/>
  </w:style>
  <w:style w:type="character" w:customStyle="1" w:styleId="denominator">
    <w:name w:val="denominator"/>
    <w:basedOn w:val="DefaultParagraphFont"/>
    <w:rsid w:val="009A2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C98"/>
    <w:pPr>
      <w:spacing w:after="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C9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7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72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5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9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6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18F9-981B-43F1-BE04-ABFD7E10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Talevich</dc:creator>
  <cp:lastModifiedBy>Dave</cp:lastModifiedBy>
  <cp:revision>6</cp:revision>
  <cp:lastPrinted>2017-09-12T18:21:00Z</cp:lastPrinted>
  <dcterms:created xsi:type="dcterms:W3CDTF">2017-09-12T17:33:00Z</dcterms:created>
  <dcterms:modified xsi:type="dcterms:W3CDTF">2017-09-12T18:46:00Z</dcterms:modified>
</cp:coreProperties>
</file>